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45C6" w14:textId="77777777" w:rsidR="00E33306" w:rsidRDefault="00E33306" w:rsidP="00E333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 w:rsidRPr="00210BC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5EE9040" wp14:editId="1C20C07E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87556979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979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РЕПУБЛИКА СРБИ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bookmarkStart w:id="0" w:name="_Hlk178354965"/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КАБИНЕТ МИНИСТРА БЕЗ ПОРТФЕЉА ЗАДУЖЕНОГ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ЗА ПОМИРЕЊЕ, РЕГИОНАЛНУ САРАДЊУ И ДРУШТВЕНУ СТАБИЛНОСТ</w:t>
      </w:r>
    </w:p>
    <w:bookmarkEnd w:id="0"/>
    <w:p w14:paraId="4A5691D9" w14:textId="77777777" w:rsidR="0022523F" w:rsidRDefault="0022523F"/>
    <w:p w14:paraId="149633DF" w14:textId="77777777" w:rsidR="00E33306" w:rsidRDefault="00E33306"/>
    <w:p w14:paraId="29F3EC8A" w14:textId="47503501" w:rsidR="008C3A46" w:rsidRPr="008A21B9" w:rsidRDefault="008C3A46" w:rsidP="008C3A46">
      <w:pPr>
        <w:pStyle w:val="BodyText"/>
        <w:jc w:val="both"/>
        <w:rPr>
          <w:lang w:val="sr-Cyrl-CS"/>
        </w:rPr>
      </w:pPr>
      <w:r w:rsidRPr="004B182B">
        <w:rPr>
          <w:lang w:val="sr-Cyrl-RS"/>
        </w:rPr>
        <w:t>Н</w:t>
      </w:r>
      <w:r w:rsidRPr="004B182B">
        <w:rPr>
          <w:lang w:val="sr-Cyrl-CS"/>
        </w:rPr>
        <w:t>а основу члана 23. став 2</w:t>
      </w:r>
      <w:r w:rsidRPr="004B182B">
        <w:t xml:space="preserve">. </w:t>
      </w:r>
      <w:r w:rsidRPr="004B182B">
        <w:rPr>
          <w:lang w:val="sr-Cyrl-CS"/>
        </w:rPr>
        <w:t>Закона о државн</w:t>
      </w:r>
      <w:r w:rsidRPr="004B182B">
        <w:t xml:space="preserve">ој </w:t>
      </w:r>
      <w:r w:rsidRPr="004B182B">
        <w:rPr>
          <w:lang w:val="sr-Cyrl-CS"/>
        </w:rPr>
        <w:t xml:space="preserve">управи </w:t>
      </w:r>
      <w:r w:rsidRPr="004B182B">
        <w:rPr>
          <w:lang w:val="sr-Cyrl-RS"/>
        </w:rPr>
        <w:t xml:space="preserve">(„Сл. гласник РС“, број 75/05, 101/07, 95/10, 99/14, 30/18 – др. закон и 47/18), </w:t>
      </w:r>
      <w:r w:rsidRPr="004B182B">
        <w:rPr>
          <w:lang w:val="sr-Latn-RS"/>
        </w:rPr>
        <w:t>члана 38. Закона о удружењима („Сл. гласник РС”, бр. 51/09, 99/11</w:t>
      </w:r>
      <w:r w:rsidRPr="004B182B">
        <w:rPr>
          <w:lang w:val="sr-Cyrl-RS"/>
        </w:rPr>
        <w:t xml:space="preserve"> </w:t>
      </w:r>
      <w:r w:rsidRPr="004B182B">
        <w:rPr>
          <w:lang w:val="sr-Latn-RS"/>
        </w:rPr>
        <w:t>–</w:t>
      </w:r>
      <w:r w:rsidRPr="004B182B">
        <w:rPr>
          <w:lang w:val="sr-Cyrl-RS"/>
        </w:rPr>
        <w:t xml:space="preserve"> </w:t>
      </w:r>
      <w:r w:rsidRPr="004B182B">
        <w:rPr>
          <w:lang w:val="sr-Latn-RS"/>
        </w:rPr>
        <w:t>др.</w:t>
      </w:r>
      <w:r w:rsidRPr="004B182B">
        <w:rPr>
          <w:lang w:val="sr-Cyrl-RS"/>
        </w:rPr>
        <w:t xml:space="preserve"> </w:t>
      </w:r>
      <w:r w:rsidRPr="004B182B">
        <w:rPr>
          <w:lang w:val="sr-Latn-RS"/>
        </w:rPr>
        <w:t>закон</w:t>
      </w:r>
      <w:r w:rsidRPr="004B182B">
        <w:rPr>
          <w:lang w:val="sr-Cyrl-RS"/>
        </w:rPr>
        <w:t>и</w:t>
      </w:r>
      <w:r w:rsidRPr="004B182B">
        <w:rPr>
          <w:lang w:val="sr-Latn-RS"/>
        </w:rPr>
        <w:t xml:space="preserve"> и 44/18 – др. закон), </w:t>
      </w:r>
      <w:r w:rsidRPr="004B182B">
        <w:rPr>
          <w:lang w:val="sr-Cyrl-RS"/>
        </w:rPr>
        <w:t>Решењем о употреби текуће бу</w:t>
      </w:r>
      <w:r w:rsidR="004B182B" w:rsidRPr="004B182B">
        <w:rPr>
          <w:lang w:val="sr-Cyrl-RS"/>
        </w:rPr>
        <w:t>џ</w:t>
      </w:r>
      <w:r w:rsidRPr="004B182B">
        <w:rPr>
          <w:lang w:val="sr-Cyrl-RS"/>
        </w:rPr>
        <w:t>етске резерве број 401-6199/2024 од 04.</w:t>
      </w:r>
      <w:r w:rsidR="004B182B" w:rsidRPr="004B182B">
        <w:rPr>
          <w:lang w:val="sr-Cyrl-RS"/>
        </w:rPr>
        <w:t xml:space="preserve"> </w:t>
      </w:r>
      <w:r w:rsidRPr="004B182B">
        <w:rPr>
          <w:lang w:val="sr-Cyrl-RS"/>
        </w:rPr>
        <w:t>јула 2024 године(</w:t>
      </w:r>
      <w:r w:rsidR="004B182B" w:rsidRPr="008E5044">
        <w:rPr>
          <w:lang w:val="sr-Latn-RS"/>
        </w:rPr>
        <w:t>„Сл. гласник РС”</w:t>
      </w:r>
      <w:r w:rsidRPr="004B182B">
        <w:rPr>
          <w:lang w:val="sr-Cyrl-RS"/>
        </w:rPr>
        <w:t>бр. 58/24) у оквиру раздела 3. Влада, 3.28</w:t>
      </w:r>
      <w:r w:rsidRPr="004B182B">
        <w:rPr>
          <w:lang w:val="sr-Cyrl-CS"/>
        </w:rPr>
        <w:t>,</w:t>
      </w:r>
      <w:r w:rsidRPr="004B182B">
        <w:t xml:space="preserve"> </w:t>
      </w:r>
      <w:r w:rsidRPr="004B182B">
        <w:rPr>
          <w:rFonts w:eastAsia="Times New Roman"/>
          <w:lang w:val="sr-Cyrl-RS"/>
        </w:rPr>
        <w:t>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Програмска активност 0055 – Координација активности у области друштвене стабилности; Економска класификација 481 – Дотације невладиним организацијама,</w:t>
      </w:r>
      <w:r w:rsidRPr="004B182B">
        <w:t xml:space="preserve"> </w:t>
      </w:r>
      <w:r w:rsidRPr="004B182B">
        <w:rPr>
          <w:lang w:val="sr-Cyrl-CS"/>
        </w:rPr>
        <w:t>Закључка Владе Републике Србије 05 број: 401-9130/2024 од 26. септембра 2024</w:t>
      </w:r>
      <w:r w:rsidR="004B182B" w:rsidRPr="004B182B">
        <w:rPr>
          <w:lang w:val="sr-Cyrl-CS"/>
        </w:rPr>
        <w:t>.</w:t>
      </w:r>
      <w:r w:rsidRPr="004B182B">
        <w:rPr>
          <w:lang w:val="sr-Cyrl-CS"/>
        </w:rPr>
        <w:t xml:space="preserve"> године  Кабинет министра без портфеља задуженог за координацију активности у области помирења, регионалне сарадње и друштвене стабилности (у даљем тексту: Кабинет министра) расписује</w:t>
      </w:r>
    </w:p>
    <w:p w14:paraId="1A81DDE8" w14:textId="77777777" w:rsidR="00E33306" w:rsidRDefault="00E33306"/>
    <w:p w14:paraId="490F9D41" w14:textId="77777777" w:rsidR="00E33306" w:rsidRDefault="00E33306" w:rsidP="00E33306"/>
    <w:p w14:paraId="7710950F" w14:textId="3B50DC87" w:rsidR="00E33306" w:rsidRDefault="00E33306" w:rsidP="0074197F">
      <w:pPr>
        <w:pStyle w:val="Standard"/>
        <w:keepNext w:val="0"/>
        <w:ind w:right="33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ЈАВНИ  </w:t>
      </w:r>
      <w:r>
        <w:rPr>
          <w:b/>
          <w:bCs/>
          <w:lang w:val="sr-Cyrl-CS"/>
        </w:rPr>
        <w:t>КОНКУРС</w:t>
      </w:r>
    </w:p>
    <w:p w14:paraId="65E8ACF0" w14:textId="458CECDF" w:rsidR="009E32A3" w:rsidRPr="0074197F" w:rsidRDefault="009E32A3" w:rsidP="009E32A3">
      <w:pPr>
        <w:pStyle w:val="Standard"/>
        <w:keepNext w:val="0"/>
        <w:ind w:right="33"/>
        <w:jc w:val="center"/>
        <w:rPr>
          <w:lang w:val="sr-Cyrl-RS"/>
        </w:rPr>
      </w:pPr>
      <w:r>
        <w:rPr>
          <w:lang w:val="sr-Cyrl-CS"/>
        </w:rPr>
        <w:t xml:space="preserve">за подношење предлога </w:t>
      </w:r>
      <w:r w:rsidR="0074197F">
        <w:rPr>
          <w:lang w:val="sr-Cyrl-RS"/>
        </w:rPr>
        <w:t>за</w:t>
      </w:r>
    </w:p>
    <w:p w14:paraId="5394B0D7" w14:textId="72B76D08" w:rsidR="00E33306" w:rsidRPr="00E33306" w:rsidRDefault="009E32A3" w:rsidP="009E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E33306"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П Р О Г Р А М</w:t>
      </w:r>
    </w:p>
    <w:p w14:paraId="0A511A60" w14:textId="77777777" w:rsidR="00E33306" w:rsidRPr="00E33306" w:rsidRDefault="00E33306" w:rsidP="00E3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ФИНАНСИЈСКЕ ПОДРШКЕ, МЕРАМА И АКТИВНОСТИМА У ОБЛАСТИ ПОМИРЕЊА КРОЗ ПОДРШКУ УДРУЖЕЊИМА ГРАЂАНА У РЕПУБЛИЦИ СРБИЈИ У 2024. ГОДИНИ</w:t>
      </w:r>
    </w:p>
    <w:p w14:paraId="56EFAE91" w14:textId="77777777" w:rsidR="00E33306" w:rsidRDefault="00E33306"/>
    <w:p w14:paraId="2BAF03D8" w14:textId="07179D1F" w:rsidR="00E33306" w:rsidRDefault="00E33306" w:rsidP="00E33306">
      <w:pPr>
        <w:pStyle w:val="Standard"/>
        <w:keepNext w:val="0"/>
        <w:ind w:right="33"/>
        <w:rPr>
          <w:bCs/>
          <w:lang w:val="sr-Cyrl-CS"/>
        </w:rPr>
      </w:pPr>
      <w:r>
        <w:t xml:space="preserve">                                                                          </w:t>
      </w:r>
      <w:r w:rsidRPr="00E33306">
        <w:rPr>
          <w:bCs/>
          <w:lang w:val="sr-Cyrl-CS"/>
        </w:rPr>
        <w:t>ЦИЉ</w:t>
      </w:r>
    </w:p>
    <w:p w14:paraId="57214206" w14:textId="77777777" w:rsidR="009E32A3" w:rsidRDefault="009E32A3" w:rsidP="00E33306">
      <w:pPr>
        <w:pStyle w:val="Standard"/>
        <w:keepNext w:val="0"/>
        <w:ind w:right="33"/>
        <w:rPr>
          <w:bCs/>
          <w:lang w:val="sr-Cyrl-CS"/>
        </w:rPr>
      </w:pPr>
    </w:p>
    <w:p w14:paraId="6A0E7B4B" w14:textId="4FD6A63A" w:rsidR="009E32A3" w:rsidRDefault="009E32A3" w:rsidP="00F6786A">
      <w:pPr>
        <w:pStyle w:val="Standard"/>
        <w:keepNext w:val="0"/>
        <w:ind w:right="33"/>
        <w:jc w:val="both"/>
        <w:rPr>
          <w:bCs/>
        </w:rPr>
      </w:pPr>
      <w:r w:rsidRPr="009E32A3">
        <w:rPr>
          <w:bCs/>
          <w:lang w:val="sr-Cyrl-CS"/>
        </w:rPr>
        <w:t xml:space="preserve">Конкурс се расписује за доделу финансијских средстава </w:t>
      </w:r>
      <w:r w:rsidR="0074197F">
        <w:rPr>
          <w:bCs/>
          <w:lang w:val="sr-Cyrl-RS"/>
        </w:rPr>
        <w:t>удружењима грађана која у свом Стат</w:t>
      </w:r>
      <w:r w:rsidRPr="009E32A3">
        <w:rPr>
          <w:bCs/>
          <w:lang w:val="sr-Cyrl-RS"/>
        </w:rPr>
        <w:t>уту</w:t>
      </w:r>
      <w:r w:rsidRPr="009E32A3">
        <w:rPr>
          <w:bCs/>
        </w:rPr>
        <w:t xml:space="preserve"> </w:t>
      </w:r>
      <w:r w:rsidRPr="009E32A3">
        <w:rPr>
          <w:bCs/>
          <w:lang w:val="sr-Cyrl-RS"/>
        </w:rPr>
        <w:t>као циљеве препознају унапређење и заштиту положаја националних заједница/мањина и људских права, промоцију интеркултурне сарадње, миротворства и помирења</w:t>
      </w:r>
      <w:r w:rsidR="0074197F">
        <w:rPr>
          <w:bCs/>
          <w:lang w:val="sr-Cyrl-RS"/>
        </w:rPr>
        <w:t>.</w:t>
      </w:r>
    </w:p>
    <w:p w14:paraId="167A6B2E" w14:textId="01B2F049" w:rsidR="00E33306" w:rsidRDefault="00E33306" w:rsidP="00F678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 циљ програма је очување, јачање и унапређење процеса помирења у Републици Србији, са посебним акцентом на финансијску подршку удружењима која раде у области помирењ</w:t>
      </w:r>
      <w:r w:rsidRPr="00E3330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 нагласком на њихову улогу у процесу помирења. Програм је усмерен на активности које промовишу међусобно разумевање, очување заједничке културне баштине и изградњу трајних веза између различитих националних заједница. Посебан акценат 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ставља се на афирмацију идеја мир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а и сарадње, као и на подршку П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рограмима који ојачавају економски и социјални потенцијал Републике Србије кроз активну улогу грађана у процесу помирења и изградње стабилних међуетничких односа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6A2E1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Реализацијом програма треба да се унапреде следеће мере:</w:t>
      </w:r>
    </w:p>
    <w:p w14:paraId="2263673C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7C25F0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1 – ПОДРШКА КУЛТУРНИМ ИНИЦИЈАТИВАМА ЗА ПОМИРЕЊЕ У РЕПУБЛИЦИ СРБИЈИ</w:t>
      </w:r>
    </w:p>
    <w:p w14:paraId="67C84A6B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9DBC9BC" w14:textId="0B7F210D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подразумева очување и јачање процеса помирења у Републици Србији кроз промоцију културног дијалога и међусобног разумевања међу различитим националним заједницама. Спроводи се кроз директну финансијску подршку организацији догађаја, изради и набавци материјала и опреме за културне активности које унапређују интеркултурну сарадњу и промоцију заједничког култ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урног наслеђа у складу са овим П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рограмом. </w:t>
      </w:r>
    </w:p>
    <w:p w14:paraId="4FD6E320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1D41473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2 – ПОДРШКА УНАПРЕЂЕЊУ ПРОЦЕСА ПОМИРЕЊА КРОЗ ПРОГРАМЕ САРАДЊЕ И ЕКСПЕРТСКЕ АКТИВНОСТИ</w:t>
      </w:r>
    </w:p>
    <w:p w14:paraId="402140BE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BD7F02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мера има за циљ јачање процеса помирења у Републици Србији кроз промоцију интеретничке сарадње, културног дијалога и стручне подршке организацијама које доприносе изградњи трајног мира. Спроводи се кроз директну финансијску подршку активностима које подстичу сарадњу и размену искустава између различитих заједница. </w:t>
      </w:r>
    </w:p>
    <w:p w14:paraId="3EBE533B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8BE0AB" w14:textId="423D63B0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3 – ПОДРШКА ПРОЈЕКТИМА ЗА ПОМИРЕЊЕ КРОЗ ОБРАЗОВНЕ ИН</w:t>
      </w:r>
      <w:r w:rsidR="00F6786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ЦИЈАТИВЕ И ПРОГРАМЕ РАЗМЕНЕ</w:t>
      </w:r>
    </w:p>
    <w:p w14:paraId="5F36B89E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555D97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мера има за циљ унапређење процеса помирења кроз образовне иницијативе и програме размене искустава. Спроводи се кроз финансијску подршку невладиним организацијама које реализују пројекте у области помирења и интеркултурне сарадње. </w:t>
      </w:r>
    </w:p>
    <w:p w14:paraId="52F43BAD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A2432C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F7DB55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МЕРА 4 – </w:t>
      </w:r>
      <w:bookmarkStart w:id="1" w:name="_Hlk175143148"/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ПОДРШКА ПРОЈЕКТИМА ЗА ЈАЧАЊЕ САРАДЊЕ И РАЗМЕНЕ ИСКУСТАВА</w:t>
      </w:r>
      <w:bookmarkEnd w:id="1"/>
    </w:p>
    <w:p w14:paraId="0CA61889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07EC47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мера има за циљ јачање сарадње и изградњу поверења међу различитим националним заједницама кроз подршку пројектима који промовишу заједничке интересе и размену искустава. Спроводи се кроз финансијску подршку активностима које подстичу интеракцију и сарадњу између различитих заједница. </w:t>
      </w:r>
    </w:p>
    <w:p w14:paraId="5A003596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5149482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5 – ПОДРШКА ПРОЈЕКТИМА КОЈИ ПОДСТИЧУ МИРОТВОРСТВО И ЈЕДНАКОСТ</w:t>
      </w:r>
    </w:p>
    <w:p w14:paraId="119210FA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A200D1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има за циљ промоцију мира кроз подршку пројектима који се фокусирају на миротворство и равноправност у друштву. Спроводи се кроз финансијску подршку активностима које промовишу мир и социјалну правду.</w:t>
      </w:r>
    </w:p>
    <w:p w14:paraId="01061C09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E2B08" w14:textId="403F1EE6" w:rsidR="00E33306" w:rsidRPr="00E33306" w:rsidRDefault="00E33306" w:rsidP="00E33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МЕРА 6 – ПОДРШКА ПОЛИТИЦИ ПОМИ</w:t>
      </w:r>
      <w:r w:rsidR="00F6786A">
        <w:rPr>
          <w:rFonts w:ascii="Times New Roman" w:eastAsia="Times New Roman" w:hAnsi="Times New Roman" w:cs="Times New Roman"/>
          <w:sz w:val="24"/>
          <w:szCs w:val="24"/>
          <w:lang w:val="sr-Cyrl-RS"/>
        </w:rPr>
        <w:t>РЕЊА У ИНСТИТУЦИЈАМА КОЈЕ СЕ СУО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ЧАВАЈУ СА ПОДЕЛАМА</w:t>
      </w:r>
      <w:r w:rsidRPr="00E33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75C0BA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6F7750" w14:textId="3F03275F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подразумева јачање улоге вита</w:t>
      </w:r>
      <w:r w:rsidR="00F6786A">
        <w:rPr>
          <w:rFonts w:ascii="Times New Roman" w:eastAsia="Times New Roman" w:hAnsi="Times New Roman" w:cs="Times New Roman"/>
          <w:sz w:val="24"/>
          <w:szCs w:val="24"/>
          <w:lang w:val="sr-Cyrl-RS"/>
        </w:rPr>
        <w:t>лних институција које се боре и суо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чавају са проблемима подела кроз финансијску подршку за активности које доприносе интеркултурном дијалогу, социјалној кохезији и јачању капацитета за промоцију мира и сарадње. Спроводи се кроз финансирање пројеката и иницијатива које подстичу међусобно разумевање и мир у локалним срединама. </w:t>
      </w:r>
    </w:p>
    <w:p w14:paraId="3E410670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FA0D060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66DCF9" w14:textId="77777777" w:rsidR="00E33306" w:rsidRPr="00E33306" w:rsidRDefault="00E33306" w:rsidP="00E33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МЕРА 7 – </w:t>
      </w:r>
      <w:bookmarkStart w:id="2" w:name="_Hlk175581209"/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ОСНАЖИВАЊЕ КАПАЦИТЕТА ИНСТИТУТЦИЈА КОЈЕ СЕ СУОЧАВАЈУ  СА ПОДЕЛАМА ЗА ПОМИРЕЊЕ</w:t>
      </w:r>
      <w:bookmarkEnd w:id="2"/>
    </w:p>
    <w:p w14:paraId="00381E18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E725D6" w14:textId="7B703F8D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се фокусира на јачање капацитета институција које се суочавају са</w:t>
      </w:r>
      <w:r w:rsidR="00F67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поделама за јачање капацитета з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а помирење кроз активну улогу у процесу помирења и промоције мира.</w:t>
      </w:r>
    </w:p>
    <w:p w14:paraId="55A32F2D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055AE8B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15F259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8 – ЕДУКАТИВНИ ПРОГРАМИ ПОДИЗАЊА СВЕСТИ О ПОМИРЕЊУ</w:t>
      </w:r>
    </w:p>
    <w:p w14:paraId="3EFF10E1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376BB1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се фокусира на јачање капацитета одгојно-образовних институција кроз одгојно-образовни програм на пољу подизања свести о важности политике помирења за државу и друштво.</w:t>
      </w:r>
    </w:p>
    <w:p w14:paraId="0F7709A2" w14:textId="77777777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</w:p>
    <w:p w14:paraId="6E5B198C" w14:textId="07C2AA05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  <w:r w:rsidRPr="00E33306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Програм је објављен на интернет страници </w:t>
      </w:r>
      <w:hyperlink r:id="rId6" w:history="1">
        <w:r w:rsidRPr="00E33306">
          <w:rPr>
            <w:rFonts w:ascii="Times New Roman" w:eastAsia="Arial" w:hAnsi="Times New Roman" w:cs="Calibri"/>
            <w:color w:val="0563C1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</w:p>
    <w:p w14:paraId="0506B610" w14:textId="77777777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</w:p>
    <w:p w14:paraId="25B61604" w14:textId="77777777" w:rsidR="00E33306" w:rsidRDefault="00E33306" w:rsidP="00E33306">
      <w:pPr>
        <w:keepNext/>
        <w:suppressAutoHyphens/>
        <w:spacing w:after="0" w:line="240" w:lineRule="auto"/>
        <w:ind w:left="2160" w:right="33" w:firstLine="720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</w:pPr>
    </w:p>
    <w:p w14:paraId="0BBC9E77" w14:textId="2F81E835" w:rsidR="00E33306" w:rsidRPr="00E33306" w:rsidRDefault="00E33306" w:rsidP="00E33306">
      <w:pPr>
        <w:keepNext/>
        <w:suppressAutoHyphens/>
        <w:spacing w:after="0" w:line="240" w:lineRule="auto"/>
        <w:ind w:left="2160" w:right="33" w:firstLine="720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</w:pPr>
      <w:r w:rsidRPr="00E33306"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  <w:t>КОРИСНИЦИ СРЕДСТАВА</w:t>
      </w:r>
    </w:p>
    <w:p w14:paraId="5EBBDA3E" w14:textId="77777777" w:rsidR="00E33306" w:rsidRP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</w:p>
    <w:p w14:paraId="7D417D86" w14:textId="77777777" w:rsidR="00E33306" w:rsidRDefault="00E33306"/>
    <w:p w14:paraId="0835BAC8" w14:textId="27778F35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3" w:name="_Hlk176343315"/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Финансијску подршку за спровођење активности у оквиру мере, под условима и на начин предвиђен овим програмом могу да остварују удружења 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грађана која у свом С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татуту  као циљеве препознају унапређење и заштиту положаја националних заједница/мањина и људских права, промоцију интеркултурне сарадње, миротворства и помирења</w:t>
      </w:r>
      <w:bookmarkEnd w:id="3"/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04B3020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предлога Програма може бити носилац искључиво једног пројекта у оквиру Конкурса.</w:t>
      </w:r>
    </w:p>
    <w:p w14:paraId="22CF438B" w14:textId="77777777" w:rsidR="00E33306" w:rsidRDefault="00E33306"/>
    <w:p w14:paraId="4917CABD" w14:textId="292D8291" w:rsidR="002816D5" w:rsidRPr="002816D5" w:rsidRDefault="00F6786A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Програми/пројекти</w:t>
      </w:r>
      <w:r w:rsidR="002816D5" w:rsidRPr="002816D5">
        <w:rPr>
          <w:rFonts w:ascii="Times New Roman" w:eastAsia="Times New Roman" w:hAnsi="Times New Roman" w:cs="Times New Roman"/>
          <w:sz w:val="24"/>
          <w:szCs w:val="24"/>
        </w:rPr>
        <w:t xml:space="preserve"> узимаће се у разматрање ако удружење испуњава следеће опште услове:</w:t>
      </w:r>
    </w:p>
    <w:p w14:paraId="30C98429" w14:textId="77777777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444879" w14:textId="77777777" w:rsidR="009E32A3" w:rsidRPr="009E32A3" w:rsidRDefault="009E32A3" w:rsidP="009E3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Да је регистровано и делује на подручју Републике Србије,</w:t>
      </w:r>
    </w:p>
    <w:p w14:paraId="17068DBD" w14:textId="1FCDCF75" w:rsidR="009E32A3" w:rsidRPr="009E32A3" w:rsidRDefault="0074197F" w:rsidP="009E3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9E32A3" w:rsidRPr="009E32A3">
        <w:rPr>
          <w:rFonts w:ascii="Times New Roman" w:eastAsia="Times New Roman" w:hAnsi="Times New Roman" w:cs="Times New Roman"/>
          <w:sz w:val="24"/>
          <w:szCs w:val="24"/>
        </w:rPr>
        <w:t xml:space="preserve">а је Статутом или дефинисаним активностима утврђено да се се циљеви удружења остварују </w:t>
      </w:r>
      <w:r w:rsidR="009E32A3"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области друштвене стабилности</w:t>
      </w:r>
    </w:p>
    <w:p w14:paraId="71784B1F" w14:textId="1FA7BBFA" w:rsidR="009E32A3" w:rsidRPr="0074197F" w:rsidRDefault="009E32A3" w:rsidP="007419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Поред општих услова, удружење које пријављује пројекат/програм треба да ис</w:t>
      </w:r>
      <w:r w:rsidR="0074197F">
        <w:rPr>
          <w:rFonts w:ascii="Times New Roman" w:eastAsia="Times New Roman" w:hAnsi="Times New Roman" w:cs="Times New Roman"/>
          <w:sz w:val="24"/>
          <w:szCs w:val="24"/>
        </w:rPr>
        <w:t>пуњава и следеће додатне услове</w:t>
      </w:r>
      <w:r w:rsidRPr="0074197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74197F">
        <w:rPr>
          <w:rFonts w:ascii="Times New Roman" w:eastAsia="Times New Roman" w:hAnsi="Times New Roman" w:cs="Times New Roman"/>
          <w:sz w:val="24"/>
          <w:szCs w:val="24"/>
        </w:rPr>
        <w:t>обављање послова  у тој области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2EE6DEB2" w14:textId="77777777" w:rsidR="009E32A3" w:rsidRPr="009E32A3" w:rsidRDefault="009E32A3" w:rsidP="009E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да достави израђен детаљан буџет активности;</w:t>
      </w:r>
    </w:p>
    <w:p w14:paraId="69FA2502" w14:textId="7C20E189" w:rsidR="009E32A3" w:rsidRPr="009E32A3" w:rsidRDefault="009E32A3" w:rsidP="009E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lastRenderedPageBreak/>
        <w:t>да достави детаљан акциони план са дефинисаном динамиком</w:t>
      </w:r>
      <w:r w:rsidR="00BD3B81" w:rsidRPr="009E32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DA5E17" w14:textId="77777777" w:rsidR="009E32A3" w:rsidRPr="009E32A3" w:rsidRDefault="009E32A3" w:rsidP="009E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да поседује стручни и технички капацитет за реализацију као и искуство</w:t>
      </w: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E32A3">
        <w:rPr>
          <w:rFonts w:ascii="Times New Roman" w:eastAsia="Times New Roman" w:hAnsi="Times New Roman" w:cs="Times New Roman"/>
          <w:sz w:val="24"/>
          <w:szCs w:val="24"/>
        </w:rPr>
        <w:t>у реализацији пројекта.</w:t>
      </w:r>
    </w:p>
    <w:p w14:paraId="4B588DD8" w14:textId="77777777" w:rsidR="009E32A3" w:rsidRPr="009E32A3" w:rsidRDefault="009E32A3" w:rsidP="009E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466A1E" w14:textId="77777777" w:rsidR="009E32A3" w:rsidRPr="009E32A3" w:rsidRDefault="009E32A3" w:rsidP="009E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61C1C9" w14:textId="6E12C267" w:rsidR="009E32A3" w:rsidRPr="009E32A3" w:rsidRDefault="0074197F" w:rsidP="009E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Уз пријаву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="009E32A3" w:rsidRPr="009E32A3">
        <w:rPr>
          <w:rFonts w:ascii="Times New Roman" w:eastAsia="Times New Roman" w:hAnsi="Times New Roman" w:cs="Times New Roman"/>
          <w:sz w:val="24"/>
          <w:szCs w:val="24"/>
        </w:rPr>
        <w:t>, удружење је обавезно да достави:</w:t>
      </w:r>
    </w:p>
    <w:p w14:paraId="20542166" w14:textId="77777777" w:rsidR="009E32A3" w:rsidRPr="009E32A3" w:rsidRDefault="009E32A3" w:rsidP="009E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9216C0" w14:textId="77777777" w:rsidR="009E32A3" w:rsidRPr="009E32A3" w:rsidRDefault="009E32A3" w:rsidP="009037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E32A3">
        <w:rPr>
          <w:rFonts w:ascii="Times New Roman" w:eastAsia="Times New Roman" w:hAnsi="Times New Roman" w:cs="Times New Roman"/>
          <w:sz w:val="24"/>
          <w:szCs w:val="24"/>
        </w:rPr>
        <w:t>звод</w:t>
      </w: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Pr="009E32A3">
        <w:rPr>
          <w:rFonts w:ascii="Times New Roman" w:eastAsia="Times New Roman" w:hAnsi="Times New Roman" w:cs="Times New Roman"/>
          <w:sz w:val="24"/>
          <w:szCs w:val="24"/>
        </w:rPr>
        <w:t xml:space="preserve"> Статута или плана активности удружења којима је утврђено да се циљеви</w:t>
      </w:r>
    </w:p>
    <w:p w14:paraId="3D7FB5A4" w14:textId="7575E6CE" w:rsidR="009E32A3" w:rsidRPr="009037F8" w:rsidRDefault="009E32A3" w:rsidP="009037F8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F8">
        <w:rPr>
          <w:rFonts w:ascii="Times New Roman" w:eastAsia="Times New Roman" w:hAnsi="Times New Roman" w:cs="Times New Roman"/>
          <w:sz w:val="24"/>
          <w:szCs w:val="24"/>
        </w:rPr>
        <w:t xml:space="preserve">удружења </w:t>
      </w:r>
      <w:r w:rsidR="0074197F">
        <w:rPr>
          <w:rFonts w:ascii="Times New Roman" w:eastAsia="Times New Roman" w:hAnsi="Times New Roman" w:cs="Times New Roman"/>
          <w:sz w:val="24"/>
          <w:szCs w:val="24"/>
        </w:rPr>
        <w:t xml:space="preserve">остварују у области у којој се 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9037F8">
        <w:rPr>
          <w:rFonts w:ascii="Times New Roman" w:eastAsia="Times New Roman" w:hAnsi="Times New Roman" w:cs="Times New Roman"/>
          <w:sz w:val="24"/>
          <w:szCs w:val="24"/>
        </w:rPr>
        <w:t>рограм реализује</w:t>
      </w:r>
      <w:r w:rsidRPr="009037F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потписан од стране заступника удружења и печатиран печатом удружењ</w:t>
      </w:r>
      <w:r w:rsidR="00BD3B81" w:rsidRPr="009037F8"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23F9C56D" w14:textId="4A4E83DF" w:rsidR="009E32A3" w:rsidRPr="009E32A3" w:rsidRDefault="009037F8" w:rsidP="009037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9E32A3" w:rsidRPr="009E32A3">
        <w:rPr>
          <w:rFonts w:ascii="Times New Roman" w:eastAsia="Times New Roman" w:hAnsi="Times New Roman" w:cs="Times New Roman"/>
          <w:sz w:val="24"/>
          <w:szCs w:val="24"/>
        </w:rPr>
        <w:t>иографије предложених едукатора</w:t>
      </w:r>
      <w:bookmarkStart w:id="4" w:name="_Hlk178511294"/>
      <w:r w:rsidR="009E32A3" w:rsidRPr="009E32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17A2C4" w14:textId="2EB68A7F" w:rsidR="009E32A3" w:rsidRPr="009E32A3" w:rsidRDefault="009037F8" w:rsidP="009037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8512619"/>
      <w:bookmarkEnd w:id="4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E32A3"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зјава да средства за реализацију предлога програма нису на други начин обезбеђена</w:t>
      </w:r>
      <w:bookmarkEnd w:id="5"/>
      <w:r w:rsidR="009E32A3" w:rsidRPr="009E32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1881B" w14:textId="0DBB41ED" w:rsidR="009E32A3" w:rsidRPr="009037F8" w:rsidRDefault="009E32A3" w:rsidP="009037F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F8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Изјава о непостојању сукоба интереса</w:t>
      </w:r>
      <w:r w:rsidRPr="009037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3F6D7D" w14:textId="77777777" w:rsidR="009E32A3" w:rsidRPr="009E32A3" w:rsidRDefault="009E32A3" w:rsidP="009037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Интерни акт о антикорупцијској политици.</w:t>
      </w:r>
    </w:p>
    <w:p w14:paraId="07585404" w14:textId="77777777" w:rsidR="009E32A3" w:rsidRPr="009E32A3" w:rsidRDefault="009E32A3" w:rsidP="009E32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29BDDBD" w14:textId="77777777" w:rsidR="009E32A3" w:rsidRPr="009E32A3" w:rsidRDefault="009E32A3" w:rsidP="009E32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969605" w14:textId="77777777" w:rsidR="009E32A3" w:rsidRPr="009E32A3" w:rsidRDefault="009E32A3" w:rsidP="00F67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2A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Конкурсна комисија по службеној дужности утврђује да ли је удружење уписано у регисатар надлежног органа и да ли се, према статутарним одредбама, циљеви удружења остварују у области у којој се програм/пројекат реализује</w:t>
      </w:r>
    </w:p>
    <w:p w14:paraId="7C06090B" w14:textId="77777777" w:rsidR="009E32A3" w:rsidRPr="009E32A3" w:rsidRDefault="009E32A3" w:rsidP="00F6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9FE0BA" w14:textId="77777777" w:rsidR="002816D5" w:rsidRPr="002816D5" w:rsidRDefault="002816D5" w:rsidP="00F6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b/>
          <w:bCs/>
          <w:sz w:val="24"/>
          <w:szCs w:val="24"/>
        </w:rPr>
        <w:t>Уколико удружење у оквиру пријаве пројекта не достави неки од напред наведених докумената, пријава ће се сматрати непотпуном и неће бити узета у разматрање.</w:t>
      </w:r>
    </w:p>
    <w:p w14:paraId="598D84A4" w14:textId="76D9D7FF" w:rsidR="002816D5" w:rsidRPr="00F6786A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5267AF8" w14:textId="3D8961DF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sz w:val="24"/>
          <w:szCs w:val="24"/>
        </w:rPr>
        <w:br/>
        <w:t>Ka</w:t>
      </w:r>
      <w:r w:rsidRPr="002816D5">
        <w:rPr>
          <w:rFonts w:ascii="Times New Roman" w:eastAsia="Times New Roman" w:hAnsi="Times New Roman" w:cs="Times New Roman"/>
          <w:sz w:val="24"/>
          <w:szCs w:val="24"/>
          <w:lang w:val="sr-Cyrl-RS"/>
        </w:rPr>
        <w:t>бинет министра</w:t>
      </w:r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задржава право да изврши корекције ставки буџета пријавље</w:t>
      </w:r>
      <w:r w:rsidR="00F6786A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proofErr w:type="gramStart"/>
      <w:r w:rsidR="00F6786A">
        <w:rPr>
          <w:rFonts w:ascii="Times New Roman" w:eastAsia="Times New Roman" w:hAnsi="Times New Roman" w:cs="Times New Roman"/>
          <w:sz w:val="24"/>
          <w:szCs w:val="24"/>
        </w:rPr>
        <w:t xml:space="preserve">пројеката </w:t>
      </w:r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према</w:t>
      </w:r>
      <w:proofErr w:type="gramEnd"/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активностима које се спроводе.</w:t>
      </w:r>
    </w:p>
    <w:p w14:paraId="50484B71" w14:textId="5DDEB11E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83159B" w14:textId="77777777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7CA53" w14:textId="692EFF0E" w:rsidR="002816D5" w:rsidRDefault="00C268FD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268FD">
        <w:rPr>
          <w:rFonts w:ascii="Times New Roman" w:eastAsia="Times New Roman" w:hAnsi="Times New Roman" w:cs="Times New Roman"/>
          <w:sz w:val="24"/>
          <w:szCs w:val="24"/>
        </w:rPr>
        <w:t>НАМЕНА СРЕДСТАВА</w:t>
      </w:r>
    </w:p>
    <w:p w14:paraId="53733C70" w14:textId="77777777" w:rsidR="00C268FD" w:rsidRDefault="00C268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5E81D" w14:textId="5BBF4D5F" w:rsidR="00C268FD" w:rsidRPr="00C268FD" w:rsidRDefault="00C268FD" w:rsidP="0029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Финансијска подршка за спровођење активности у оквиру мере обухвата накнаду трошкова удружењима грађана у Репу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блици Србији, у складу са овим П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рограмом.</w:t>
      </w:r>
    </w:p>
    <w:p w14:paraId="1CB65164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5D2D4A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9F400F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Прихватљиви трошкови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су:</w:t>
      </w:r>
    </w:p>
    <w:p w14:paraId="46694090" w14:textId="095B7DAC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Људски ресурси - накнада за лица ангажована током трај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ања П</w:t>
      </w:r>
      <w:r w:rsidR="00F6786A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на пословима коорди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нације, администрирања проје</w:t>
      </w:r>
      <w:r w:rsidR="00F6786A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том, финансијским управљањем и сл. као и накнада за лица </w:t>
      </w:r>
      <w:r w:rsidR="00F6786A">
        <w:rPr>
          <w:rFonts w:ascii="Times New Roman" w:eastAsia="Times New Roman" w:hAnsi="Times New Roman" w:cs="Times New Roman"/>
          <w:sz w:val="24"/>
          <w:szCs w:val="24"/>
          <w:lang w:val="sr-Cyrl-RS"/>
        </w:rPr>
        <w:t>ангажована на реализа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цији програмских активности (демонстратори, конференсијеи, лица ангажована у циљу реализација обука и друга лица); Наведна лица могу бити ангажована по основу уговора о ппп, угово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а о делу и сл.</w:t>
      </w:r>
    </w:p>
    <w:p w14:paraId="4EDEA83B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E8CA0E" w14:textId="1C331B7D" w:rsidR="00C268FD" w:rsidRPr="00C268FD" w:rsidRDefault="0074197F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Текући трошкови Програма</w:t>
      </w:r>
      <w:r w:rsidR="00C268FD"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нпр. трошкови закупа простора и трошкови за функционисање канцеларије (трошкови телефона, интернета, комуналних услуга, грејања, трошкови електричне енергије и сл.); трошкови канцеларијског материјала под условом да су неопходни за реализацију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FD"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програма или пројекта; трошкови превоза;  књиговодствене услуге; трошкови накнаде за услуге јавних плаћања које врши Управа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трезор; остали текући трошкови П</w:t>
      </w:r>
      <w:r w:rsidR="00C268FD"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рограма.</w:t>
      </w:r>
    </w:p>
    <w:p w14:paraId="539C6722" w14:textId="77777777" w:rsidR="00C268FD" w:rsidRPr="00C268FD" w:rsidRDefault="00C268FD" w:rsidP="00C268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2D5A58" w14:textId="3029C370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Трошкови програмских активности нпр. набавка услуга и до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бара неопходних за реализацију П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рограма;  трошкови угоститељских услуга;  трошкови смештаја и исхране према приложеном уговору и рачуну, водећи рачуна да буду економски оправдани. Потребно је за сваку а</w:t>
      </w:r>
      <w:r w:rsidR="0074197F">
        <w:rPr>
          <w:rFonts w:ascii="Times New Roman" w:eastAsia="Times New Roman" w:hAnsi="Times New Roman" w:cs="Times New Roman"/>
          <w:sz w:val="24"/>
          <w:szCs w:val="24"/>
          <w:lang w:val="sr-Cyrl-RS"/>
        </w:rPr>
        <w:t>ктивност дефинисану у предлогу П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приказати појединачне трошкове по буџетским линијама. Називи активности у предлогу буџета морају да буду усклађени са називима активности у предлогу програма или пројекта.</w:t>
      </w:r>
    </w:p>
    <w:p w14:paraId="10EFB764" w14:textId="77777777" w:rsidR="00C268FD" w:rsidRPr="00C268FD" w:rsidRDefault="00C268FD" w:rsidP="00C268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9C22AE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Неприхватљиви трошкови су: </w:t>
      </w:r>
    </w:p>
    <w:p w14:paraId="2AEB48ED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политичких кампања,</w:t>
      </w:r>
    </w:p>
    <w:p w14:paraId="1F596C2A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покушај политичке идеологизације кроз пројекат, </w:t>
      </w:r>
    </w:p>
    <w:p w14:paraId="44974659" w14:textId="4652FB5A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куповина возила, техничке опреме за потребе удружења</w:t>
      </w:r>
      <w:r w:rsidR="00D37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адаптација и опремање 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простора удружења,</w:t>
      </w:r>
    </w:p>
    <w:p w14:paraId="7A729BEC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изградња инфраструктуре и грађевински радови у оквиру програмских активности,</w:t>
      </w:r>
    </w:p>
    <w:p w14:paraId="19D4938A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ретроактивно финансирање програма чија је реализација у току или чија је реализација завршена,</w:t>
      </w:r>
    </w:p>
    <w:p w14:paraId="0B2CD0B4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програми којима се остварује добит.</w:t>
      </w:r>
    </w:p>
    <w:p w14:paraId="514F4C60" w14:textId="77777777" w:rsidR="00C268FD" w:rsidRPr="00C268FD" w:rsidRDefault="00C268FD" w:rsidP="00C2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31E78C" w14:textId="77777777" w:rsidR="00C268FD" w:rsidRPr="00C268FD" w:rsidRDefault="00C268FD" w:rsidP="00C2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76F615" w14:textId="77777777" w:rsidR="00C268FD" w:rsidRPr="009857F7" w:rsidRDefault="00C268FD" w:rsidP="00C2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ФИНАНСИЈСКИ ОКВИР</w:t>
      </w:r>
    </w:p>
    <w:p w14:paraId="3B79F764" w14:textId="77777777" w:rsidR="00C268FD" w:rsidRDefault="00C268FD"/>
    <w:p w14:paraId="3A47C2BB" w14:textId="77777777" w:rsidR="00C268FD" w:rsidRDefault="00C268FD"/>
    <w:p w14:paraId="3F9C477F" w14:textId="32816D80" w:rsidR="003B2832" w:rsidRDefault="003B2832" w:rsidP="003B2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832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спровођење овог програма обезбеђена су Решењем о употреби текуће буџетске резерве број 401-6199/2024 од 04. јула 2024. године (,,Службени гласник РС”, бр. 58/24), у оквиру Раздела 3. Влада, Глава 3.28. 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Програмска активност 0053 – Координација активности у области помирења; Економска класификација 481 - Дотација невладиним организацијама: 50.000.000,00 динара</w:t>
      </w:r>
      <w:r w:rsidR="002978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E749EBE" w14:textId="77777777" w:rsidR="00297838" w:rsidRPr="003B2832" w:rsidRDefault="00297838" w:rsidP="003B2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DD95BB" w14:textId="0D0B7CFF" w:rsidR="003B2832" w:rsidRPr="003B2832" w:rsidRDefault="00297838" w:rsidP="003B2832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Финансирање програма врши се на основу уговора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закљученог између реализатора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 и Кабинета министра, који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м се нарочито дефинише предмет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/пројекта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, рок у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коме се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/пројекат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реализује, конкретне обавезе уговорних страна, износ средстава и начин обезбеђења и преноса средстава, инструмени обезбеђења за случај 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lastRenderedPageBreak/>
        <w:t>ненаменског трошења средст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ава обезбеђених за реализацију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рограма, односно за случај неизвршења уговорне обавезе – предмета програма и повраћај неутрошених средстава.</w:t>
      </w:r>
    </w:p>
    <w:p w14:paraId="4FC5E74C" w14:textId="77777777" w:rsidR="003B2832" w:rsidRPr="003B2832" w:rsidRDefault="003B2832" w:rsidP="003B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43B8F9" w14:textId="74A66E06" w:rsidR="00297838" w:rsidRDefault="00297838" w:rsidP="00297838">
      <w:pPr>
        <w:spacing w:after="0" w:line="240" w:lineRule="auto"/>
        <w:jc w:val="both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 потписивању уговора ср</w:t>
      </w:r>
      <w:r w:rsid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едства се уплаћују реализатору П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 на отворени </w:t>
      </w:r>
      <w:r w:rsidRPr="009857F7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 xml:space="preserve">наменски подрачун код Управе за трезор Министарства финансија,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наведен у уговору. Са овог подрачуна, у складу са одобреним </w:t>
      </w:r>
      <w:r w:rsidRPr="001D0C89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буџетом финансирају се све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активности</w:t>
      </w:r>
      <w:r w:rsidRPr="001D0C89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, као и предвиђени хонорари</w:t>
      </w:r>
      <w:r w:rsidRPr="009857F7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 xml:space="preserve">. Није дозвољен било какав пренос средстава са овог </w:t>
      </w:r>
      <w:r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подр</w:t>
      </w:r>
      <w:r w:rsidRPr="009857F7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ачуна на рачун пословне банке.</w:t>
      </w:r>
      <w:r w:rsidRPr="00396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BE3DF" w14:textId="4EDA020C" w:rsidR="00297838" w:rsidRPr="009857F7" w:rsidRDefault="00D37CAF" w:rsidP="00297838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 је одговоран за законито и наменско трошење средстава.</w:t>
      </w:r>
    </w:p>
    <w:p w14:paraId="213536E4" w14:textId="77777777" w:rsidR="003B2832" w:rsidRPr="003B2832" w:rsidRDefault="003B2832" w:rsidP="003B2832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118799E7" w14:textId="047E8587" w:rsidR="003B2832" w:rsidRPr="003B2832" w:rsidRDefault="00D37CAF" w:rsidP="003B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</w:t>
      </w:r>
      <w:r w:rsidR="003B2832" w:rsidRPr="003B283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 је дужан да обавештава надле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жни орган о његовој реализацији</w:t>
      </w:r>
      <w:r w:rsidR="003B2832" w:rsidRPr="003B283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, у роковима одређеним уговором, као и да надлежном органу омогући праћење реализације програма.</w:t>
      </w:r>
    </w:p>
    <w:p w14:paraId="1A27FAED" w14:textId="77777777" w:rsidR="003B2832" w:rsidRPr="003B2832" w:rsidRDefault="003B2832" w:rsidP="003B2832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398C841" w14:textId="14488C0D" w:rsidR="00297838" w:rsidRPr="009857F7" w:rsidRDefault="00D37CAF" w:rsidP="00297838">
      <w:pPr>
        <w:tabs>
          <w:tab w:val="left" w:pos="430"/>
        </w:tabs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Након завршетка Програма, реализатор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је дужан да на предвиђеним формуларима достави завршни извештај који се састоји од детаљног наративног и финансијског извештај</w:t>
      </w:r>
      <w:r w:rsidR="009E18EE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а 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као и пратећу документацију којом се доказује наменски утрошак средстава. Формулари извештаја биће доступни на званичној интернет страници Кабинета министра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  <w:hyperlink r:id="rId7" w:history="1">
        <w:r w:rsidR="00297838"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. 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Рок за достављање завршног изв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ештаја је 30 дана од завршетка П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рограма.</w:t>
      </w:r>
    </w:p>
    <w:p w14:paraId="505302CB" w14:textId="77777777" w:rsidR="00B23714" w:rsidRDefault="00B23714" w:rsidP="003B2832">
      <w:pPr>
        <w:rPr>
          <w:rFonts w:ascii="Times New Roman" w:eastAsia="Arial" w:hAnsi="Times New Roman" w:cs="Calibri"/>
          <w:kern w:val="1"/>
          <w:sz w:val="24"/>
          <w:szCs w:val="24"/>
          <w:lang w:eastAsia="ar-SA"/>
        </w:rPr>
      </w:pPr>
    </w:p>
    <w:p w14:paraId="68A9560D" w14:textId="77777777" w:rsidR="00B23714" w:rsidRDefault="00B23714" w:rsidP="00B23714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bookmarkStart w:id="6" w:name="_Hlk178243522"/>
      <w:r w:rsidRPr="00B23714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ТРАЈАЊЕ ПРОГРАМА</w:t>
      </w:r>
    </w:p>
    <w:p w14:paraId="18A66DDA" w14:textId="77777777" w:rsidR="00297838" w:rsidRPr="00B23714" w:rsidRDefault="00297838" w:rsidP="00B23714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bookmarkEnd w:id="6"/>
    <w:p w14:paraId="1784FE3C" w14:textId="66012D84" w:rsidR="00297838" w:rsidRPr="00D37CAF" w:rsidRDefault="00297838" w:rsidP="00D37CAF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Програмске активности реализују се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у трајању </w:t>
      </w: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6 месеци </w:t>
      </w:r>
      <w:r w:rsidR="009E18EE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од дана преноса средстава, с тим </w:t>
      </w:r>
      <w:r w:rsidR="00D37CAF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 w:cs="Times New Roman"/>
          <w:lang w:val="sr-Cyrl-RS"/>
        </w:rPr>
        <w:t>да постоји могућност продужења рока за р</w:t>
      </w:r>
      <w:r w:rsidR="009E18EE"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>ализацију активности</w:t>
      </w:r>
      <w:r w:rsidR="00D37CAF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а најдуже 2 месеца .</w:t>
      </w:r>
    </w:p>
    <w:p w14:paraId="676B0558" w14:textId="77777777" w:rsidR="00CE21DB" w:rsidRDefault="00CE21DB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eastAsia="ar-SA"/>
        </w:rPr>
      </w:pPr>
    </w:p>
    <w:p w14:paraId="45E7D83F" w14:textId="77777777" w:rsidR="00CE21DB" w:rsidRDefault="00CE21DB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eastAsia="ar-SA"/>
        </w:rPr>
      </w:pPr>
    </w:p>
    <w:p w14:paraId="0FD64A71" w14:textId="0FB8F6FC" w:rsidR="00B23714" w:rsidRPr="00B23714" w:rsidRDefault="00B23714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23714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КОНКУРСНА ДОКУМЕНТАЦИЈА И НАЧИН ПРИЈАВЕ</w:t>
      </w:r>
    </w:p>
    <w:p w14:paraId="2AF27F82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341274E2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431ACB58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7B4D10CB" w14:textId="77777777" w:rsidR="00297838" w:rsidRPr="009857F7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Конкурс је јаван и објављује се на </w:t>
      </w:r>
      <w:bookmarkStart w:id="7" w:name="_Hlk178356125"/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интернет страници Кабинета министра </w:t>
      </w:r>
      <w:hyperlink r:id="rId8" w:history="1">
        <w:r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bookmarkEnd w:id="7"/>
      <w:r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и на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орталу е-Управа.</w:t>
      </w:r>
    </w:p>
    <w:p w14:paraId="568A2C70" w14:textId="77777777" w:rsidR="00297838" w:rsidRPr="009857F7" w:rsidRDefault="00297838" w:rsidP="002978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0DD7A5B9" w14:textId="06E16DDD" w:rsidR="00297838" w:rsidRPr="009857F7" w:rsidRDefault="00D37CAF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Обрасци за подношење предлога П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рограма, доступни су и могу се преузети на званичној интернет страници Кабинета министра </w:t>
      </w:r>
      <w:hyperlink r:id="rId9" w:history="1">
        <w:r w:rsidRPr="004C77EA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val="sr-Cyrl-CS" w:eastAsia="ar-SA"/>
          </w:rPr>
          <w:t>https://pomirenje.gov.rs/</w:t>
        </w:r>
      </w:hyperlink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и на порталу е-Управа. </w:t>
      </w:r>
    </w:p>
    <w:p w14:paraId="24FD664D" w14:textId="77777777" w:rsidR="00297838" w:rsidRPr="009857F7" w:rsidRDefault="00297838" w:rsidP="002978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284A6560" w14:textId="77777777" w:rsidR="00297838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  <w:t xml:space="preserve">Пријаве се достављају у затвореној коверти. Пријаву чини следећа </w:t>
      </w:r>
      <w:r w:rsidRPr="009857F7">
        <w:rPr>
          <w:rFonts w:ascii="Times New Roman" w:eastAsia="Arial" w:hAnsi="Times New Roman" w:cs="Calibri"/>
          <w:b/>
          <w:bCs/>
          <w:kern w:val="1"/>
          <w:sz w:val="24"/>
          <w:szCs w:val="24"/>
          <w:u w:val="single"/>
          <w:lang w:val="sr-Cyrl-CS" w:eastAsia="ar-SA"/>
        </w:rPr>
        <w:t>обавезна  документација достављена на прописаним обрасцима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:</w:t>
      </w:r>
    </w:p>
    <w:p w14:paraId="491FDFB4" w14:textId="77777777" w:rsidR="00297838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6D5CF56" w14:textId="77777777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пријаве на конкурс</w:t>
      </w:r>
    </w:p>
    <w:p w14:paraId="337FF301" w14:textId="77777777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предлога пројекта(</w:t>
      </w:r>
      <w:r w:rsidRPr="00D37CAF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предлог пројекта мора бити  потписан од стране заступника удружења подносиоца предлога пројекта и оверен печатом)</w:t>
      </w:r>
    </w:p>
    <w:p w14:paraId="4E9A4242" w14:textId="77777777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буџета пројекта</w:t>
      </w:r>
    </w:p>
    <w:p w14:paraId="0EECB01A" w14:textId="77777777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наративног буџета пројекта</w:t>
      </w:r>
    </w:p>
    <w:p w14:paraId="292C8BEB" w14:textId="4ECCA040" w:rsidR="00297838" w:rsidRPr="00D37CAF" w:rsidRDefault="00D37CAF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lastRenderedPageBreak/>
        <w:t>Оверена копија извода из С</w:t>
      </w:r>
      <w:r w:rsidR="00297838"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татута удружења у коме је утврђено да се циљеви удружења остварују у области у којој се пројекат реализује</w:t>
      </w:r>
    </w:p>
    <w:p w14:paraId="2D00923C" w14:textId="77777777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Изјава да средства за реализацију пројекта нису обезбеђена на други начин на обрасцу који је дат у прилогу јавног конкурса</w:t>
      </w:r>
    </w:p>
    <w:p w14:paraId="09F6D5CD" w14:textId="084BA8FC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Изјава о одсуству сукоба </w:t>
      </w:r>
      <w:r w:rsidR="009E18EE"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интереса за чланове удружења</w:t>
      </w: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на обрасцу који је дат у прилогу јавног конкурса</w:t>
      </w:r>
    </w:p>
    <w:p w14:paraId="5D74D052" w14:textId="77777777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>Интерни акт о антикорупцијској политици</w:t>
      </w:r>
    </w:p>
    <w:p w14:paraId="7C867BBE" w14:textId="5C613FF8" w:rsidR="00297838" w:rsidRPr="00D37CAF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Изјава удружења да ће приликом потписивања уговора приложити средства обезбеђења за испуњење уговорних обавеза</w:t>
      </w:r>
    </w:p>
    <w:p w14:paraId="754B41C3" w14:textId="77777777" w:rsidR="00297838" w:rsidRPr="009857F7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326C8A1" w14:textId="77777777" w:rsidR="00297838" w:rsidRPr="009857F7" w:rsidRDefault="00297838" w:rsidP="0029783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*Обавезна документација доставља се у два примерка (оригинал и копија оригиналне документације);</w:t>
      </w:r>
    </w:p>
    <w:p w14:paraId="61EBACD1" w14:textId="77777777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</w:r>
    </w:p>
    <w:p w14:paraId="2951B015" w14:textId="77777777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3DDCED85" w14:textId="232A5D54" w:rsidR="00297838" w:rsidRPr="003F57CF" w:rsidRDefault="00297838" w:rsidP="002978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Пријавне формат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попунити јасно и прецизно, како би се на најбољи могући начин процениле пријаве.</w:t>
      </w:r>
      <w:r w:rsidR="00D37C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Пријаве које су рађене на другим обрасцима и</w:t>
      </w:r>
      <w:r w:rsidRPr="003F57C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="00D37C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којима су обрасци за писање П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редлога пројекта написани руком или писаћом машином неће се сматрати важећим.</w:t>
      </w:r>
    </w:p>
    <w:p w14:paraId="5F90E3A0" w14:textId="77777777" w:rsidR="00297838" w:rsidRPr="003F57CF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 xml:space="preserve">Предлоге пројекта доставити </w:t>
      </w:r>
      <w:r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>препрученом пошиљком</w:t>
      </w: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 xml:space="preserve"> или лично на адресу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:</w:t>
      </w:r>
    </w:p>
    <w:p w14:paraId="547968EF" w14:textId="392C8A2B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 без портфеља задуженог за координацију активности у области помирења, регионалне сарадње и друштвене стабилности,</w:t>
      </w:r>
      <w:r w:rsid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Pr="00D37CA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Булевар Михајла Пупина 2, Нови Београд 11070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.</w:t>
      </w:r>
    </w:p>
    <w:p w14:paraId="50BB83AC" w14:textId="6DC83E39" w:rsidR="00297838" w:rsidRPr="00D37CAF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На коверти обавезно треба назначити: пуно име и адресу пошиљаоца, назив пројекта и следећи текст: „</w:t>
      </w:r>
      <w:r w:rsidRPr="00D37CA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Пријава за доделу финансијске подршке мерама </w:t>
      </w:r>
      <w:r w:rsidR="00D874A6" w:rsidRPr="00D37CA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и активностима </w:t>
      </w:r>
      <w:r w:rsidRPr="00D37CA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у области</w:t>
      </w:r>
      <w:r w:rsidR="00D874A6" w:rsidRPr="00D37CA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помирења  </w:t>
      </w:r>
      <w:r w:rsidRPr="00D37CA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кроз подршку удржењима грађана у Републици Србији у 2024. години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“ с назнаком </w:t>
      </w:r>
      <w:r w:rsidRPr="00D37CAF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НЕ ОТВАРАТИ ПРЕ ЗАВРШЕТКА ЈАВНОГ ПОЗИВА ЗА ПОДНОШЕЊЕ ПРЕДЛОГА ПРОГРАМА.</w:t>
      </w:r>
    </w:p>
    <w:p w14:paraId="44B73813" w14:textId="77777777" w:rsidR="00297838" w:rsidRPr="009857F7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43EEFB88" w14:textId="123177B1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  <w:t xml:space="preserve">Благовременом пријавом сматра се препоручена пошиљка предата пошти / курирској служби / писарници најкасније до </w:t>
      </w:r>
      <w:r w:rsidR="009E18EE" w:rsidRPr="00D37CAF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17</w:t>
      </w:r>
      <w:r w:rsidRPr="00D37CAF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. октобра 2024 године (15 дана од расписивања)</w:t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(печат поште), без обзира на датум приспећа. </w:t>
      </w:r>
    </w:p>
    <w:p w14:paraId="423466F3" w14:textId="77777777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6F5E4A3F" w14:textId="77777777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bCs/>
          <w:kern w:val="1"/>
          <w:sz w:val="24"/>
          <w:szCs w:val="24"/>
          <w:lang w:val="sr-Cyrl-CS" w:eastAsia="hi-IN" w:bidi="hi-IN"/>
        </w:rPr>
        <w:tab/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Неблаговремено поднете пријаве неће бити разматране, а непотпуне ће се сматрати неважећим.</w:t>
      </w:r>
    </w:p>
    <w:p w14:paraId="0F534827" w14:textId="77777777" w:rsidR="00297838" w:rsidRDefault="00297838" w:rsidP="00297838"/>
    <w:p w14:paraId="0903BDFD" w14:textId="77777777" w:rsidR="00297838" w:rsidRPr="00BD0646" w:rsidRDefault="00297838" w:rsidP="0029783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1"/>
          <w:sz w:val="24"/>
          <w:szCs w:val="21"/>
          <w:lang w:val="ru-RU" w:eastAsia="hi-IN" w:bidi="hi-IN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РОК И НАЧИН ОБЈАВЉИВАЊА ПРИ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ЈАВЉЕНИХ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ПРОГРАМА</w:t>
      </w:r>
    </w:p>
    <w:p w14:paraId="6F9C40C4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586D7F56" w14:textId="720A3980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Листа вред</w:t>
      </w:r>
      <w:r w:rsidR="00D37CA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новања и рангирања пријављених П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 утврђује се у року не дужем од 60 дана од дана истека рока за подношење пријава. Резултати конкурса биће објављени на интернет страници Кабинета министра </w:t>
      </w:r>
      <w:hyperlink r:id="rId10" w:history="1">
        <w:r w:rsidRPr="00BD0646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7BBAE1E0" w14:textId="77777777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</w:p>
    <w:p w14:paraId="4B785432" w14:textId="37FEF40B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>Учесници конкурса имају право увида у поднете пријаве и приложену документацију по утврђивању предлога листе вред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новања и рангирања пријављених П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рограма, у року од 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3 (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три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)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радна дана од дана објављивања листе. Увид се може извршити искључиво уз претходну најаву.</w:t>
      </w:r>
    </w:p>
    <w:p w14:paraId="6242EBE3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3C60489E" w14:textId="59DE8EE9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 xml:space="preserve">На листу вредновања и рангирања учесници конкурса имају право приговора у року од 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8 (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осам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)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дана од дана њеног објављивања. Одлуку о приговору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доноси у року од 15 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(петнаест) 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дана од дана његовог пријема.</w:t>
      </w:r>
    </w:p>
    <w:p w14:paraId="54CEB77B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1961BA9C" w14:textId="4B827BAA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Одлуку о избору програма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донеће у року од 30 </w:t>
      </w:r>
      <w:r w:rsidR="00D37CA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(тридесет) 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дана од дана истека рока за подношење приговора и иста ће бити објављена на интернет страници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Кабинета министра </w:t>
      </w:r>
      <w:bookmarkStart w:id="8" w:name="_Hlk178354001"/>
      <w:r>
        <w:fldChar w:fldCharType="begin"/>
      </w:r>
      <w:r>
        <w:instrText>HYPERLINK "https://pomirenje.gov.rs/"</w:instrText>
      </w:r>
      <w:r>
        <w:fldChar w:fldCharType="separate"/>
      </w:r>
      <w:r w:rsidRPr="00BD0646"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t>https://pomirenje.gov.rs/</w:t>
      </w:r>
      <w:r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fldChar w:fldCharType="end"/>
      </w:r>
      <w:bookmarkEnd w:id="8"/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5540ACBE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2D2FC619" w14:textId="5C338F1F" w:rsidR="00297838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Информације о јавном конкурсу могу се добити у Кабинету министра у времену од 11-15 часова и  </w:t>
      </w:r>
      <w:r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на е-маил адресу </w:t>
      </w:r>
      <w:bookmarkStart w:id="9" w:name="_GoBack"/>
      <w:bookmarkEnd w:id="9"/>
      <w:r w:rsidR="007952AB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fldChar w:fldCharType="begin"/>
      </w:r>
      <w:r w:rsidR="007952AB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instrText xml:space="preserve"> HYPERLINK "mailto:</w:instrText>
      </w:r>
      <w:r w:rsidR="007952AB" w:rsidRPr="007952AB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instrText>konkurs</w:instrText>
      </w:r>
      <w:r w:rsidR="007952AB" w:rsidRPr="007952AB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instrText>@pomirenj</w:instrText>
      </w:r>
      <w:r w:rsidR="007952AB" w:rsidRPr="007952AB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instrText>е</w:instrText>
      </w:r>
      <w:r w:rsidR="007952AB" w:rsidRPr="007952AB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instrText>.gov.rs</w:instrText>
      </w:r>
      <w:r w:rsidR="007952AB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instrText xml:space="preserve">" </w:instrText>
      </w:r>
      <w:r w:rsidR="007952AB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fldChar w:fldCharType="separate"/>
      </w:r>
      <w:r w:rsidR="007952AB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>konkurs</w:t>
      </w:r>
      <w:r w:rsidR="007952AB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eastAsia="ar-SA"/>
        </w:rPr>
        <w:t>@pomirenj</w:t>
      </w:r>
      <w:r w:rsidR="007952AB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>е</w:t>
      </w:r>
      <w:r w:rsidR="007952AB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eastAsia="ar-SA"/>
        </w:rPr>
        <w:t>.gov.rs</w:t>
      </w:r>
      <w:r w:rsidR="007952AB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fldChar w:fldCharType="end"/>
      </w:r>
      <w:r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</w:p>
    <w:p w14:paraId="1CCF7517" w14:textId="77777777" w:rsidR="00297838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</w:p>
    <w:p w14:paraId="6D74AD4B" w14:textId="67CEF8C7" w:rsidR="00D874A6" w:rsidRPr="009E18EE" w:rsidRDefault="00297838" w:rsidP="00D37CAF">
      <w:pPr>
        <w:tabs>
          <w:tab w:val="left" w:pos="430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RS" w:eastAsia="ar-SA"/>
        </w:rPr>
      </w:pPr>
      <w:r w:rsidRPr="009E18EE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КОН</w:t>
      </w:r>
      <w:r w:rsidR="009E18EE" w:rsidRPr="009E18EE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КУРС ЈЕ ОТВОРЕН ОД 02. ОКТОБРА ДО 17</w:t>
      </w:r>
      <w:r w:rsidR="00D874A6" w:rsidRPr="009E18EE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9E18EE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ОКТОБРА 2024</w:t>
      </w:r>
      <w:r w:rsidR="00D874A6" w:rsidRPr="009E18EE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9E18EE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 xml:space="preserve"> ГОДИНЕ</w:t>
      </w:r>
    </w:p>
    <w:p w14:paraId="7EB3A41B" w14:textId="77777777" w:rsidR="00D874A6" w:rsidRDefault="00D874A6" w:rsidP="007A61A3">
      <w:pPr>
        <w:widowControl w:val="0"/>
        <w:tabs>
          <w:tab w:val="left" w:pos="420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6F6E4187" w14:textId="77777777" w:rsidR="00D874A6" w:rsidRDefault="00D874A6" w:rsidP="007A61A3">
      <w:pPr>
        <w:widowControl w:val="0"/>
        <w:tabs>
          <w:tab w:val="left" w:pos="420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437688E1" w14:textId="77777777" w:rsidR="00D874A6" w:rsidRDefault="00D874A6" w:rsidP="007A61A3">
      <w:pPr>
        <w:widowControl w:val="0"/>
        <w:tabs>
          <w:tab w:val="left" w:pos="420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4EB38192" w14:textId="77777777" w:rsidR="009B4E9E" w:rsidRDefault="009B4E9E" w:rsidP="007A61A3">
      <w:pPr>
        <w:widowControl w:val="0"/>
        <w:tabs>
          <w:tab w:val="left" w:pos="420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577E8ED0" w14:textId="09F54F80" w:rsidR="009B4E9E" w:rsidRPr="007A61A3" w:rsidRDefault="00D874A6" w:rsidP="007E752B">
      <w:pPr>
        <w:widowControl w:val="0"/>
        <w:tabs>
          <w:tab w:val="left" w:pos="42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  <w:t>ОПШТИ</w:t>
      </w:r>
      <w:r w:rsidR="007A61A3" w:rsidRPr="007A61A3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КРИТЕРИЈУМИ ЗА ОЦЕЊИВАЊЕ ПРИЈАВА</w:t>
      </w:r>
    </w:p>
    <w:p w14:paraId="1CFF46D6" w14:textId="77777777" w:rsidR="007A61A3" w:rsidRPr="007A61A3" w:rsidRDefault="007A61A3" w:rsidP="007A61A3">
      <w:pPr>
        <w:rPr>
          <w:rFonts w:ascii="Calibri" w:eastAsia="Calibri" w:hAnsi="Calibri" w:cs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7A61A3" w:rsidRPr="007A61A3" w14:paraId="17F92F96" w14:textId="77777777" w:rsidTr="004F4DA7">
        <w:trPr>
          <w:trHeight w:val="566"/>
        </w:trPr>
        <w:tc>
          <w:tcPr>
            <w:tcW w:w="8282" w:type="dxa"/>
          </w:tcPr>
          <w:p w14:paraId="084D3FB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5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Критеријум</w:t>
            </w:r>
          </w:p>
        </w:tc>
        <w:tc>
          <w:tcPr>
            <w:tcW w:w="812" w:type="dxa"/>
          </w:tcPr>
          <w:p w14:paraId="1692C76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9" w:after="0" w:line="240" w:lineRule="auto"/>
              <w:ind w:left="68" w:right="55" w:firstLine="108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Број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бодова</w:t>
            </w:r>
          </w:p>
        </w:tc>
      </w:tr>
      <w:tr w:rsidR="007A61A3" w:rsidRPr="007A61A3" w14:paraId="3B9BE282" w14:textId="77777777" w:rsidTr="004F4DA7">
        <w:trPr>
          <w:trHeight w:val="810"/>
        </w:trPr>
        <w:tc>
          <w:tcPr>
            <w:tcW w:w="8282" w:type="dxa"/>
            <w:shd w:val="clear" w:color="auto" w:fill="F1F1F1"/>
          </w:tcPr>
          <w:p w14:paraId="4DA34D8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5"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 xml:space="preserve">1. Усклађености резултата и ефеката програма или пројекта са циљевима конкурса и доприноса остваривању јавног интереса у областима омладинског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сектора</w:t>
            </w:r>
          </w:p>
        </w:tc>
        <w:tc>
          <w:tcPr>
            <w:tcW w:w="812" w:type="dxa"/>
            <w:shd w:val="clear" w:color="auto" w:fill="F1F1F1"/>
          </w:tcPr>
          <w:p w14:paraId="0CE3260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37253A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25</w:t>
            </w:r>
          </w:p>
        </w:tc>
      </w:tr>
      <w:tr w:rsidR="007A61A3" w:rsidRPr="007A61A3" w14:paraId="0DBBC6A1" w14:textId="77777777" w:rsidTr="004F4DA7">
        <w:trPr>
          <w:trHeight w:val="539"/>
        </w:trPr>
        <w:tc>
          <w:tcPr>
            <w:tcW w:w="8282" w:type="dxa"/>
          </w:tcPr>
          <w:p w14:paraId="664D772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1.1.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Усклађеност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циљева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резултата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предлога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пројекта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 xml:space="preserve">циљем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конкурса</w:t>
            </w:r>
          </w:p>
        </w:tc>
        <w:tc>
          <w:tcPr>
            <w:tcW w:w="812" w:type="dxa"/>
          </w:tcPr>
          <w:p w14:paraId="44E12E5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5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</w:tr>
      <w:tr w:rsidR="007A61A3" w:rsidRPr="007A61A3" w14:paraId="406F3518" w14:textId="77777777" w:rsidTr="004F4DA7">
        <w:trPr>
          <w:trHeight w:val="628"/>
        </w:trPr>
        <w:tc>
          <w:tcPr>
            <w:tcW w:w="8282" w:type="dxa"/>
          </w:tcPr>
          <w:p w14:paraId="77BFCE19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 xml:space="preserve">1.2. Усклађеност предлога програма или пројекта са потребама циљне групе/крајњих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корисника</w:t>
            </w:r>
          </w:p>
        </w:tc>
        <w:tc>
          <w:tcPr>
            <w:tcW w:w="812" w:type="dxa"/>
          </w:tcPr>
          <w:p w14:paraId="14529D7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81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</w:tr>
      <w:tr w:rsidR="007A61A3" w:rsidRPr="007A61A3" w14:paraId="69EC4184" w14:textId="77777777" w:rsidTr="004F4DA7">
        <w:trPr>
          <w:trHeight w:val="434"/>
        </w:trPr>
        <w:tc>
          <w:tcPr>
            <w:tcW w:w="8282" w:type="dxa"/>
            <w:shd w:val="clear" w:color="auto" w:fill="F1F1F1"/>
          </w:tcPr>
          <w:p w14:paraId="0554BE4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0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Капацитет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носиоца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1F145421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0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7A61A3" w:rsidRPr="007A61A3" w14:paraId="4BF49403" w14:textId="77777777" w:rsidTr="004F4DA7">
        <w:trPr>
          <w:trHeight w:val="330"/>
        </w:trPr>
        <w:tc>
          <w:tcPr>
            <w:tcW w:w="8282" w:type="dxa"/>
          </w:tcPr>
          <w:p w14:paraId="279A426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2.1.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Капацитети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искуство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носиоца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пројекта</w:t>
            </w:r>
          </w:p>
        </w:tc>
        <w:tc>
          <w:tcPr>
            <w:tcW w:w="812" w:type="dxa"/>
          </w:tcPr>
          <w:p w14:paraId="63F1BD3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2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96BB674" w14:textId="77777777" w:rsidTr="004F4DA7">
        <w:trPr>
          <w:trHeight w:val="342"/>
        </w:trPr>
        <w:tc>
          <w:tcPr>
            <w:tcW w:w="8282" w:type="dxa"/>
          </w:tcPr>
          <w:p w14:paraId="00DF174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2.2.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Референце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лица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реализују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пројекат</w:t>
            </w:r>
          </w:p>
        </w:tc>
        <w:tc>
          <w:tcPr>
            <w:tcW w:w="812" w:type="dxa"/>
          </w:tcPr>
          <w:p w14:paraId="098DA12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53E1E92" w14:textId="77777777" w:rsidTr="004F4DA7">
        <w:trPr>
          <w:trHeight w:val="342"/>
        </w:trPr>
        <w:tc>
          <w:tcPr>
            <w:tcW w:w="8282" w:type="dxa"/>
          </w:tcPr>
          <w:p w14:paraId="54432CF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2.3.</w:t>
            </w:r>
            <w:r w:rsidRPr="007A61A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Остварена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партнерства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сарадња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између</w:t>
            </w:r>
            <w:r w:rsidRPr="007A61A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различитих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субјеката</w:t>
            </w:r>
          </w:p>
        </w:tc>
        <w:tc>
          <w:tcPr>
            <w:tcW w:w="812" w:type="dxa"/>
          </w:tcPr>
          <w:p w14:paraId="3021A18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7A61A3" w:rsidRPr="007A61A3" w14:paraId="23DE7CF5" w14:textId="77777777" w:rsidTr="004F4DA7">
        <w:trPr>
          <w:trHeight w:val="549"/>
        </w:trPr>
        <w:tc>
          <w:tcPr>
            <w:tcW w:w="8282" w:type="dxa"/>
            <w:shd w:val="clear" w:color="auto" w:fill="F1F1F1"/>
          </w:tcPr>
          <w:p w14:paraId="0B2783CF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Садржај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изводљивост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предлога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05F85B9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7A61A3" w:rsidRPr="007A61A3" w14:paraId="0A21B99C" w14:textId="77777777" w:rsidTr="004F4DA7">
        <w:trPr>
          <w:trHeight w:val="621"/>
        </w:trPr>
        <w:tc>
          <w:tcPr>
            <w:tcW w:w="8282" w:type="dxa"/>
          </w:tcPr>
          <w:p w14:paraId="296C995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1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3.1. Да ли су предложене активности логичне, одговарајуће, практичне и у складу са циљевима, очекиваним резултатима и предвиђеним циљним групама?</w:t>
            </w:r>
          </w:p>
        </w:tc>
        <w:tc>
          <w:tcPr>
            <w:tcW w:w="812" w:type="dxa"/>
          </w:tcPr>
          <w:p w14:paraId="4642C23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7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2221805F" w14:textId="77777777" w:rsidTr="004F4DA7">
        <w:trPr>
          <w:trHeight w:val="359"/>
        </w:trPr>
        <w:tc>
          <w:tcPr>
            <w:tcW w:w="8282" w:type="dxa"/>
          </w:tcPr>
          <w:p w14:paraId="4ADA524A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3.2.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план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реализације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јасно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разрађен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изводљив?</w:t>
            </w:r>
          </w:p>
        </w:tc>
        <w:tc>
          <w:tcPr>
            <w:tcW w:w="812" w:type="dxa"/>
          </w:tcPr>
          <w:p w14:paraId="3493B8B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55B977D8" w14:textId="77777777" w:rsidTr="004F4DA7">
        <w:trPr>
          <w:trHeight w:val="359"/>
        </w:trPr>
        <w:tc>
          <w:tcPr>
            <w:tcW w:w="8282" w:type="dxa"/>
          </w:tcPr>
          <w:p w14:paraId="7A46921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3.3.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приказани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индикатори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005EF3B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58FA9007" w14:textId="77777777" w:rsidTr="004F4DA7">
        <w:trPr>
          <w:trHeight w:val="450"/>
        </w:trPr>
        <w:tc>
          <w:tcPr>
            <w:tcW w:w="8282" w:type="dxa"/>
            <w:shd w:val="clear" w:color="auto" w:fill="F1F1F1"/>
          </w:tcPr>
          <w:p w14:paraId="47377FA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Обухват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усклађеност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потребама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циљних</w:t>
            </w:r>
            <w:r w:rsidRPr="007A61A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група</w:t>
            </w:r>
          </w:p>
        </w:tc>
        <w:tc>
          <w:tcPr>
            <w:tcW w:w="812" w:type="dxa"/>
            <w:shd w:val="clear" w:color="auto" w:fill="F1F1F1"/>
          </w:tcPr>
          <w:p w14:paraId="3729C86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10</w:t>
            </w:r>
          </w:p>
        </w:tc>
      </w:tr>
      <w:tr w:rsidR="007A61A3" w:rsidRPr="007A61A3" w14:paraId="159C5F8E" w14:textId="77777777" w:rsidTr="004F4DA7">
        <w:trPr>
          <w:trHeight w:val="630"/>
        </w:trPr>
        <w:tc>
          <w:tcPr>
            <w:tcW w:w="8282" w:type="dxa"/>
          </w:tcPr>
          <w:p w14:paraId="1F74509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4.1.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Број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директних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крајњих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корисника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односу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на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предложене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активности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 финансијски план програма или пројекта</w:t>
            </w:r>
          </w:p>
        </w:tc>
        <w:tc>
          <w:tcPr>
            <w:tcW w:w="812" w:type="dxa"/>
          </w:tcPr>
          <w:p w14:paraId="4C453202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8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7A61A3" w:rsidRPr="007A61A3" w14:paraId="49A4ADE0" w14:textId="77777777" w:rsidTr="004F4DA7">
        <w:trPr>
          <w:trHeight w:val="880"/>
        </w:trPr>
        <w:tc>
          <w:tcPr>
            <w:tcW w:w="8282" w:type="dxa"/>
          </w:tcPr>
          <w:p w14:paraId="2B0A827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lastRenderedPageBreak/>
              <w:t>4.2. Да ли је програмом или пројектом планирано укључивање младих из одговарајућих категорија (структура младих) у односу на циљ програма 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пројекта?</w:t>
            </w:r>
          </w:p>
        </w:tc>
        <w:tc>
          <w:tcPr>
            <w:tcW w:w="812" w:type="dxa"/>
          </w:tcPr>
          <w:p w14:paraId="4D3C95D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DBEF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</w:tr>
      <w:tr w:rsidR="007A61A3" w:rsidRPr="007A61A3" w14:paraId="025EA0ED" w14:textId="77777777" w:rsidTr="004F4DA7">
        <w:trPr>
          <w:trHeight w:val="460"/>
        </w:trPr>
        <w:tc>
          <w:tcPr>
            <w:tcW w:w="8282" w:type="dxa"/>
          </w:tcPr>
          <w:p w14:paraId="4DAF4C8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4.3.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предвиђено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заступање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принципа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родне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равноправности?</w:t>
            </w:r>
          </w:p>
        </w:tc>
        <w:tc>
          <w:tcPr>
            <w:tcW w:w="812" w:type="dxa"/>
          </w:tcPr>
          <w:p w14:paraId="5917D54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7A61A3" w:rsidRPr="007A61A3" w14:paraId="376F9989" w14:textId="77777777" w:rsidTr="004F4DA7">
        <w:trPr>
          <w:trHeight w:val="522"/>
        </w:trPr>
        <w:tc>
          <w:tcPr>
            <w:tcW w:w="8282" w:type="dxa"/>
            <w:shd w:val="clear" w:color="auto" w:fill="F1F1F1"/>
          </w:tcPr>
          <w:p w14:paraId="03504F2F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Одрживост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ефеката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3AFA8290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10"/>
              </w:rPr>
              <w:t>7</w:t>
            </w:r>
          </w:p>
        </w:tc>
      </w:tr>
      <w:tr w:rsidR="007A61A3" w:rsidRPr="007A61A3" w14:paraId="19F7DE2A" w14:textId="77777777" w:rsidTr="004F4DA7">
        <w:trPr>
          <w:trHeight w:val="467"/>
        </w:trPr>
        <w:tc>
          <w:tcPr>
            <w:tcW w:w="8282" w:type="dxa"/>
          </w:tcPr>
          <w:p w14:paraId="4F61FD0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5.1.</w:t>
            </w:r>
            <w:r w:rsidRPr="007A61A3">
              <w:rPr>
                <w:rFonts w:ascii="Times New Roman" w:eastAsia="Times New Roman" w:hAnsi="Times New Roman" w:cs="Times New Roman"/>
                <w:spacing w:val="52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којој</w:t>
            </w:r>
            <w:r w:rsidRPr="007A61A3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мери</w:t>
            </w:r>
            <w:r w:rsidRPr="007A61A3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резултати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55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пројекта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одрживи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по</w:t>
            </w:r>
            <w:r w:rsidRPr="007A61A3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престанку</w:t>
            </w:r>
          </w:p>
          <w:p w14:paraId="7D35C53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0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2"/>
              </w:rPr>
              <w:t>финансирања?</w:t>
            </w:r>
          </w:p>
        </w:tc>
        <w:tc>
          <w:tcPr>
            <w:tcW w:w="812" w:type="dxa"/>
          </w:tcPr>
          <w:p w14:paraId="12DBEBF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7A61A3" w:rsidRPr="007A61A3" w14:paraId="5013BAF7" w14:textId="77777777" w:rsidTr="004F4DA7">
        <w:trPr>
          <w:trHeight w:val="611"/>
        </w:trPr>
        <w:tc>
          <w:tcPr>
            <w:tcW w:w="8282" w:type="dxa"/>
          </w:tcPr>
          <w:p w14:paraId="5512A1A9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5.2.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пројекат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нуди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иновативно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решење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области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коју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 xml:space="preserve">се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односи?</w:t>
            </w:r>
          </w:p>
        </w:tc>
        <w:tc>
          <w:tcPr>
            <w:tcW w:w="812" w:type="dxa"/>
          </w:tcPr>
          <w:p w14:paraId="46D0B74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7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7A61A3" w:rsidRPr="007A61A3" w14:paraId="6BFFCFE3" w14:textId="77777777" w:rsidTr="004F4DA7">
        <w:trPr>
          <w:trHeight w:val="549"/>
        </w:trPr>
        <w:tc>
          <w:tcPr>
            <w:tcW w:w="8282" w:type="dxa"/>
            <w:shd w:val="clear" w:color="auto" w:fill="F1F1F1"/>
          </w:tcPr>
          <w:p w14:paraId="1FF87AF6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Сврсисходност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рационалност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трошкова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1A91F20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13</w:t>
            </w:r>
          </w:p>
        </w:tc>
      </w:tr>
      <w:tr w:rsidR="007A61A3" w:rsidRPr="007A61A3" w14:paraId="08E8A4FC" w14:textId="77777777" w:rsidTr="004F4DA7">
        <w:trPr>
          <w:trHeight w:val="890"/>
        </w:trPr>
        <w:tc>
          <w:tcPr>
            <w:tcW w:w="8282" w:type="dxa"/>
          </w:tcPr>
          <w:p w14:paraId="4FD71846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8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6.1. Да ли су појединачне предложене буџетске линије оправдане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 односу на планиране активности и резултате програма или пројекта укључујући и адекватност људских и финансијских ресурса?</w:t>
            </w:r>
          </w:p>
        </w:tc>
        <w:tc>
          <w:tcPr>
            <w:tcW w:w="812" w:type="dxa"/>
          </w:tcPr>
          <w:p w14:paraId="09CB02F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E30F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1F2E73B" w14:textId="77777777" w:rsidTr="004F4DA7">
        <w:trPr>
          <w:trHeight w:val="532"/>
        </w:trPr>
        <w:tc>
          <w:tcPr>
            <w:tcW w:w="8282" w:type="dxa"/>
          </w:tcPr>
          <w:p w14:paraId="600E0EB1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6.2.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висина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предложеног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трошка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планиране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буџетске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линије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реална?</w:t>
            </w:r>
          </w:p>
        </w:tc>
        <w:tc>
          <w:tcPr>
            <w:tcW w:w="812" w:type="dxa"/>
          </w:tcPr>
          <w:p w14:paraId="1656908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7A61A3" w:rsidRPr="007A61A3" w14:paraId="7A1B5FF9" w14:textId="77777777" w:rsidTr="004F4DA7">
        <w:trPr>
          <w:trHeight w:val="385"/>
        </w:trPr>
        <w:tc>
          <w:tcPr>
            <w:tcW w:w="8282" w:type="dxa"/>
            <w:shd w:val="clear" w:color="auto" w:fill="F1F1F1"/>
          </w:tcPr>
          <w:p w14:paraId="2E9D7CA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Видљивост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6AC3F1A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5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10"/>
                <w:lang w:val="sr-Cyrl-RS"/>
              </w:rPr>
              <w:t>9</w:t>
            </w:r>
          </w:p>
        </w:tc>
      </w:tr>
      <w:tr w:rsidR="007A61A3" w:rsidRPr="007A61A3" w14:paraId="69107F08" w14:textId="77777777" w:rsidTr="004F4DA7">
        <w:trPr>
          <w:trHeight w:val="431"/>
        </w:trPr>
        <w:tc>
          <w:tcPr>
            <w:tcW w:w="8282" w:type="dxa"/>
          </w:tcPr>
          <w:p w14:paraId="073DC36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8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7.2.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приказани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индикатори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677E084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82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  <w:lang w:val="sr-Cyrl-RS"/>
              </w:rPr>
              <w:t>5</w:t>
            </w:r>
          </w:p>
        </w:tc>
      </w:tr>
      <w:tr w:rsidR="007A61A3" w:rsidRPr="007A61A3" w14:paraId="6D79FC80" w14:textId="77777777" w:rsidTr="004F4DA7">
        <w:trPr>
          <w:trHeight w:val="493"/>
        </w:trPr>
        <w:tc>
          <w:tcPr>
            <w:tcW w:w="8282" w:type="dxa"/>
            <w:shd w:val="clear" w:color="auto" w:fill="F1F1F1"/>
          </w:tcPr>
          <w:p w14:paraId="38E63DAF" w14:textId="51D5391E" w:rsidR="007A61A3" w:rsidRPr="00B57AB9" w:rsidRDefault="007A61A3" w:rsidP="007A61A3">
            <w:pPr>
              <w:widowControl w:val="0"/>
              <w:autoSpaceDE w:val="0"/>
              <w:autoSpaceDN w:val="0"/>
              <w:spacing w:before="118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МАКСИМАЛАН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БРОЈ</w:t>
            </w:r>
            <w:r w:rsidRPr="007A61A3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="00B57AB9">
              <w:rPr>
                <w:rFonts w:ascii="Times New Roman" w:eastAsia="Times New Roman" w:hAnsi="Times New Roman" w:cs="Times New Roman"/>
                <w:b/>
                <w:spacing w:val="-4"/>
                <w:lang w:val="sr-Cyrl-RS"/>
              </w:rPr>
              <w:t xml:space="preserve"> БОДОВА</w:t>
            </w:r>
          </w:p>
        </w:tc>
        <w:tc>
          <w:tcPr>
            <w:tcW w:w="812" w:type="dxa"/>
            <w:shd w:val="clear" w:color="auto" w:fill="F1F1F1"/>
          </w:tcPr>
          <w:p w14:paraId="73D92C00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1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100</w:t>
            </w:r>
          </w:p>
        </w:tc>
      </w:tr>
    </w:tbl>
    <w:p w14:paraId="1DAF1276" w14:textId="77777777" w:rsidR="009B4E9E" w:rsidRDefault="009B4E9E" w:rsidP="007A61A3">
      <w:pPr>
        <w:rPr>
          <w:lang w:val="sr-Cyrl-RS"/>
        </w:rPr>
      </w:pPr>
    </w:p>
    <w:p w14:paraId="22F7992C" w14:textId="77777777" w:rsidR="007E752B" w:rsidRPr="007E752B" w:rsidRDefault="007E752B" w:rsidP="007A61A3">
      <w:pPr>
        <w:rPr>
          <w:rFonts w:ascii="Calibri" w:eastAsia="Calibri" w:hAnsi="Calibri" w:cs="Times New Roman"/>
          <w:lang w:val="sr-Cyrl-RS"/>
        </w:rPr>
      </w:pPr>
    </w:p>
    <w:p w14:paraId="6CF3DFBC" w14:textId="77777777" w:rsidR="00D874A6" w:rsidRPr="00BD0646" w:rsidRDefault="00D874A6" w:rsidP="00D874A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color w:val="000000"/>
          <w:kern w:val="1"/>
          <w:sz w:val="24"/>
          <w:szCs w:val="24"/>
          <w:lang w:val="sr-Cyrl-CS" w:eastAsia="ar-SA"/>
        </w:rPr>
      </w:pPr>
    </w:p>
    <w:p w14:paraId="62DB11E7" w14:textId="77777777" w:rsidR="00D874A6" w:rsidRDefault="00D874A6" w:rsidP="009B4E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B4E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ПОСЕБНИ КРИТЕРИЈУМИ </w:t>
      </w:r>
      <w:r w:rsidRPr="009B4E9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 ОЦЕЊИВАЊЕ ПРИЈАВА</w:t>
      </w:r>
    </w:p>
    <w:p w14:paraId="03748A5F" w14:textId="77777777" w:rsidR="009B4E9E" w:rsidRDefault="009B4E9E" w:rsidP="00D874A6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1"/>
        <w:gridCol w:w="1179"/>
      </w:tblGrid>
      <w:tr w:rsidR="009B4E9E" w14:paraId="2CD5E870" w14:textId="77777777" w:rsidTr="007E752B">
        <w:tc>
          <w:tcPr>
            <w:tcW w:w="8388" w:type="dxa"/>
            <w:shd w:val="clear" w:color="auto" w:fill="E8E8E8" w:themeFill="background2"/>
          </w:tcPr>
          <w:p w14:paraId="27C9E040" w14:textId="6C8F73E1" w:rsidR="009B4E9E" w:rsidRPr="00D37CAF" w:rsidRDefault="009B4E9E" w:rsidP="008C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7C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Критеријум</w:t>
            </w:r>
            <w:r w:rsidR="00D37C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188" w:type="dxa"/>
            <w:shd w:val="clear" w:color="auto" w:fill="E8E8E8" w:themeFill="background2"/>
          </w:tcPr>
          <w:p w14:paraId="06ACC388" w14:textId="3F7E54FE" w:rsidR="009B4E9E" w:rsidRPr="00D37CAF" w:rsidRDefault="009B4E9E" w:rsidP="00D3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7C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</w:t>
            </w:r>
            <w:r w:rsidR="00D37CAF" w:rsidRPr="00D37C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рој бодова</w:t>
            </w:r>
          </w:p>
        </w:tc>
      </w:tr>
      <w:tr w:rsidR="009B4E9E" w14:paraId="16C12DA3" w14:textId="77777777" w:rsidTr="008C616B">
        <w:tc>
          <w:tcPr>
            <w:tcW w:w="8388" w:type="dxa"/>
          </w:tcPr>
          <w:p w14:paraId="2542D4B9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Иновативност и оригиналност предлога пројекта</w:t>
            </w:r>
          </w:p>
          <w:p w14:paraId="0FE7945A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2FDB0" w14:textId="31C6A1DA" w:rsidR="009B4E9E" w:rsidRPr="00632EE2" w:rsidRDefault="00D37CAF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Пројекат демонстрира изузетну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оригиналност у приступу решавањ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специфичних изазова који се односе на регионалну сарадњу и процесе помирења, кроз примену нових и неконвенционалних метода које доприносе повећању ефикасности активности </w:t>
            </w:r>
            <w:r w:rsidR="009B4E9E" w:rsidRPr="00D37CAF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бодова).</w:t>
            </w:r>
          </w:p>
          <w:p w14:paraId="393B1D3C" w14:textId="144C6EC6" w:rsidR="009B4E9E" w:rsidRPr="00632EE2" w:rsidRDefault="00D37CAF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Употреба иновативних метода и техника у реализацији пројектних активности које нису раније примењиване у сличним контекстима, чиме се подстиче ново разумевање и решавање питања у области регионалне сарадње </w:t>
            </w:r>
            <w:r w:rsidR="009B4E9E" w:rsidRPr="00D37CAF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бодова).</w:t>
            </w:r>
          </w:p>
          <w:p w14:paraId="2BDD4789" w14:textId="33B37E5E" w:rsidR="009B4E9E" w:rsidRPr="00632EE2" w:rsidRDefault="00D37CAF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Креативан приступ осмишљавању активности који укључује оригиналне и нове идеје са циљем побољшања међурегионалних односа и јачања сарадње </w:t>
            </w:r>
            <w:r w:rsidR="009B4E9E" w:rsidRPr="00D37CAF">
              <w:rPr>
                <w:rFonts w:ascii="Times New Roman" w:hAnsi="Times New Roman" w:cs="Times New Roman"/>
                <w:b/>
                <w:sz w:val="24"/>
                <w:szCs w:val="24"/>
              </w:rPr>
              <w:t>(3 бода).</w:t>
            </w:r>
          </w:p>
          <w:p w14:paraId="630E2A36" w14:textId="77777777" w:rsidR="009B4E9E" w:rsidRDefault="009B4E9E" w:rsidP="008C616B"/>
        </w:tc>
        <w:tc>
          <w:tcPr>
            <w:tcW w:w="1188" w:type="dxa"/>
          </w:tcPr>
          <w:p w14:paraId="3176327C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1E7B82DC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0357F42A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603E923F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5B7D746B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76E81E89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41E85CAA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0A37B902" w14:textId="77777777" w:rsidR="009B4E9E" w:rsidRPr="00D37CAF" w:rsidRDefault="009B4E9E" w:rsidP="008C61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37CAF">
              <w:rPr>
                <w:rFonts w:ascii="Times New Roman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9B4E9E" w14:paraId="28D76894" w14:textId="77777777" w:rsidTr="008C616B">
        <w:tc>
          <w:tcPr>
            <w:tcW w:w="8388" w:type="dxa"/>
          </w:tcPr>
          <w:p w14:paraId="0C008AA1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Утицај пројекта на мултикултурност и међуетничку сарадњу</w:t>
            </w:r>
          </w:p>
          <w:p w14:paraId="0BD2EFC0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4123" w14:textId="6182F6F0" w:rsidR="009B4E9E" w:rsidRPr="00632EE2" w:rsidRDefault="00D37CAF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Пројекат укључује учешће и сарадњу више различитих националних заједница, чиме се обезбеђује разноликост у приступима и активностима, као и унапређење односа између различитих етничких и културних група </w:t>
            </w:r>
            <w:r w:rsidR="009B4E9E" w:rsidRPr="00D37CAF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3B1E1" w14:textId="06ADD549" w:rsidR="009B4E9E" w:rsidRPr="00632EE2" w:rsidRDefault="00D37CAF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Пројекат директно доприноси очувању и афирмацији заједничке културне баштине, са циљем изградње трајних веза и унапређења међуетничке толеранције и разумевања у мултикултурном контексту </w:t>
            </w:r>
            <w:r w:rsidR="009B4E9E" w:rsidRPr="00D37CAF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бодова).</w:t>
            </w:r>
          </w:p>
          <w:p w14:paraId="1E4C0099" w14:textId="73820A46" w:rsidR="009B4E9E" w:rsidRPr="00632EE2" w:rsidRDefault="00D37CAF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Подстицање активног дијалога и сарадње међу различитим културним групама путем заједничких иницијатива које имају за циљ изградњу поверења и дугорочних партнерстава </w:t>
            </w:r>
            <w:r w:rsidR="009B4E9E" w:rsidRPr="00D37CAF">
              <w:rPr>
                <w:rFonts w:ascii="Times New Roman" w:hAnsi="Times New Roman" w:cs="Times New Roman"/>
                <w:b/>
                <w:sz w:val="24"/>
                <w:szCs w:val="24"/>
              </w:rPr>
              <w:t>(3 бода)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FAACC" w14:textId="77777777" w:rsidR="009B4E9E" w:rsidRDefault="009B4E9E" w:rsidP="008C616B"/>
        </w:tc>
        <w:tc>
          <w:tcPr>
            <w:tcW w:w="1188" w:type="dxa"/>
          </w:tcPr>
          <w:p w14:paraId="28083D4F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5F24DA70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23DCD341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69A132E9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682B0DBA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56BA86CA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4CD1D4A4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9B4E9E" w14:paraId="2ECCE80F" w14:textId="77777777" w:rsidTr="008C616B">
        <w:tc>
          <w:tcPr>
            <w:tcW w:w="8388" w:type="dxa"/>
          </w:tcPr>
          <w:p w14:paraId="6AD3B6CD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Допринос пројекта друштвеној стабилности и процесу помирења</w:t>
            </w:r>
          </w:p>
          <w:p w14:paraId="5718C9C9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12D6" w14:textId="7E926BD4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Пројекат има значајан потенцијал да утиче на унапређење социјалне стабилности у локалној заједници кроз активности које промовишу помирење, јачање друштвених веза и активно укључивање грађана у решавање друштвених конфликата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(5 бодова)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98E63" w14:textId="6810F8AB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Дугорочни утицај пројекта на процес помирења и јачање међуетничког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поверења се огледа у континуираном ангажману заједница на спровођењу заједничких пројеката и иницијатива који доприносе одрживој стабилности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(5 бодова)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81C25" w14:textId="77777777" w:rsidR="009B4E9E" w:rsidRDefault="009B4E9E" w:rsidP="008C616B"/>
        </w:tc>
        <w:tc>
          <w:tcPr>
            <w:tcW w:w="1188" w:type="dxa"/>
          </w:tcPr>
          <w:p w14:paraId="2D5C896A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52107668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5C9B57E2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4E876CB7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3C628CBC" w14:textId="77777777" w:rsidR="009B4E9E" w:rsidRDefault="009B4E9E" w:rsidP="008C616B">
            <w:pPr>
              <w:jc w:val="center"/>
              <w:rPr>
                <w:lang w:val="sr-Cyrl-RS"/>
              </w:rPr>
            </w:pPr>
          </w:p>
          <w:p w14:paraId="2BBDE37C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9B4E9E" w14:paraId="7B3E14D2" w14:textId="77777777" w:rsidTr="008C616B">
        <w:tc>
          <w:tcPr>
            <w:tcW w:w="8388" w:type="dxa"/>
          </w:tcPr>
          <w:p w14:paraId="05EF6364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Капацитет носиоца пројекта и изводљивост плана</w:t>
            </w:r>
          </w:p>
          <w:p w14:paraId="4BC4A1EF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26EA" w14:textId="16E5C1C2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 и претходно искуство носиоца пројекта у спровођењу сличних активности, посебно у области регионалне сарадње и међуетничког дијалога, што осигурава квалитет и поузданост предложеног пројекта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бодова).</w:t>
            </w:r>
          </w:p>
          <w:p w14:paraId="7C32B7B8" w14:textId="48F5B45A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Пројектни тим има јасно дефинисане људске и материјалне ресурсе који су довољни за успешно спровођење предложених активности и постизање очекиваних резултата, уз претходно искуство у сличним пројектима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F1072" w14:textId="77777777" w:rsidR="009B4E9E" w:rsidRDefault="009B4E9E" w:rsidP="008C616B">
            <w:pPr>
              <w:jc w:val="center"/>
            </w:pPr>
          </w:p>
        </w:tc>
        <w:tc>
          <w:tcPr>
            <w:tcW w:w="1188" w:type="dxa"/>
          </w:tcPr>
          <w:p w14:paraId="7CE6AFF7" w14:textId="77777777" w:rsidR="009B4E9E" w:rsidRDefault="009B4E9E" w:rsidP="008C616B">
            <w:pPr>
              <w:rPr>
                <w:lang w:val="sr-Cyrl-RS"/>
              </w:rPr>
            </w:pPr>
          </w:p>
          <w:p w14:paraId="38F98CAB" w14:textId="77777777" w:rsidR="009B4E9E" w:rsidRDefault="009B4E9E" w:rsidP="008C616B">
            <w:pPr>
              <w:rPr>
                <w:lang w:val="sr-Cyrl-RS"/>
              </w:rPr>
            </w:pPr>
          </w:p>
          <w:p w14:paraId="5896525D" w14:textId="77777777" w:rsidR="009B4E9E" w:rsidRDefault="009B4E9E" w:rsidP="008C616B">
            <w:pPr>
              <w:rPr>
                <w:lang w:val="sr-Cyrl-RS"/>
              </w:rPr>
            </w:pPr>
          </w:p>
          <w:p w14:paraId="19E29640" w14:textId="77777777" w:rsidR="009B4E9E" w:rsidRDefault="009B4E9E" w:rsidP="008C616B">
            <w:pPr>
              <w:rPr>
                <w:lang w:val="sr-Cyrl-RS"/>
              </w:rPr>
            </w:pPr>
          </w:p>
          <w:p w14:paraId="24AACE46" w14:textId="77777777" w:rsidR="009B4E9E" w:rsidRDefault="009B4E9E" w:rsidP="008C616B">
            <w:pPr>
              <w:rPr>
                <w:lang w:val="sr-Cyrl-RS"/>
              </w:rPr>
            </w:pPr>
          </w:p>
          <w:p w14:paraId="47B80FAC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t>12</w:t>
            </w:r>
          </w:p>
        </w:tc>
      </w:tr>
      <w:tr w:rsidR="009B4E9E" w14:paraId="00846892" w14:textId="77777777" w:rsidTr="008C616B">
        <w:tc>
          <w:tcPr>
            <w:tcW w:w="8388" w:type="dxa"/>
          </w:tcPr>
          <w:p w14:paraId="17B1A63E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Одрживост резултата пројекта након завршетка финансирања</w:t>
            </w:r>
          </w:p>
          <w:p w14:paraId="15434602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17804" w14:textId="41EE02FC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и постигнућа пројекта су дугорочно одрживи и постоје јасни планови за наставак активности након завршетка финансирања, што осигурава континуитет пројектних ефеката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(5 бодова)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6219E" w14:textId="7E7AE3A6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Пројекат је осмишљен на такав начин да активности могу бити интегрисане у постојеће локалне стратегије или развојне планове, чиме се обезбеђује да ће резултати имати дуготрајан утицај на регионалну сарадњу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(5 бодова).</w:t>
            </w:r>
          </w:p>
          <w:p w14:paraId="7004A760" w14:textId="77777777" w:rsidR="009B4E9E" w:rsidRDefault="009B4E9E" w:rsidP="008C616B"/>
        </w:tc>
        <w:tc>
          <w:tcPr>
            <w:tcW w:w="1188" w:type="dxa"/>
            <w:vAlign w:val="center"/>
          </w:tcPr>
          <w:p w14:paraId="7D960D2D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9B4E9E" w14:paraId="74C9B554" w14:textId="77777777" w:rsidTr="008C616B">
        <w:tc>
          <w:tcPr>
            <w:tcW w:w="8388" w:type="dxa"/>
          </w:tcPr>
          <w:p w14:paraId="72AC47D5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Рационалност трошкова и сврсисходност буџета</w:t>
            </w:r>
          </w:p>
          <w:p w14:paraId="564CA952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863B" w14:textId="7C0AC9D6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Буџетски план је детаљно разрађен, а појединачне буџетске линије су усклађене са предложеним активностима и очекиваним резултатима, уз адекватну алокацију људских и финансијских ресурса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бодова).</w:t>
            </w:r>
          </w:p>
          <w:p w14:paraId="20125E4D" w14:textId="7AA5CE3F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Висина предложених трошкова за планиране буџетске линије је реална и одговара обиму активности, чиме се обезбеђује економска оправданост целокупног пројекта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(6 бодова).</w:t>
            </w:r>
          </w:p>
          <w:p w14:paraId="7BB873C8" w14:textId="77777777" w:rsidR="009B4E9E" w:rsidRDefault="009B4E9E" w:rsidP="008C616B"/>
        </w:tc>
        <w:tc>
          <w:tcPr>
            <w:tcW w:w="1188" w:type="dxa"/>
            <w:vAlign w:val="center"/>
          </w:tcPr>
          <w:p w14:paraId="6E3EA841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lastRenderedPageBreak/>
              <w:t>12</w:t>
            </w:r>
          </w:p>
        </w:tc>
      </w:tr>
      <w:tr w:rsidR="009B4E9E" w:rsidRPr="007E752B" w14:paraId="5CAC25E5" w14:textId="77777777" w:rsidTr="008C616B">
        <w:tc>
          <w:tcPr>
            <w:tcW w:w="8388" w:type="dxa"/>
          </w:tcPr>
          <w:p w14:paraId="793E511F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Видљивост и комуникација резултата пројекта</w:t>
            </w:r>
          </w:p>
          <w:p w14:paraId="66BB0AF8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BDE9" w14:textId="1D6D52F1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Пројекат предвиђа адекватну и ефикасну промоцију кроз различите медијске канале и јавне наступе, чиме се обезбеђује видљивост и препознатљивост пројектних резултата у широј јавности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(5 бодова).</w:t>
            </w:r>
          </w:p>
          <w:p w14:paraId="21A26A1D" w14:textId="3CCB53A3" w:rsidR="009B4E9E" w:rsidRPr="00632EE2" w:rsidRDefault="007E752B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9B4E9E" w:rsidRPr="00632EE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Индикатори видљивости су јасно дефинисани и мерљиви, што омогућава праћење и процену утицаја пројекта на циљне групе и шире друштво </w:t>
            </w:r>
            <w:r w:rsidR="009B4E9E" w:rsidRPr="007E752B">
              <w:rPr>
                <w:rFonts w:ascii="Times New Roman" w:hAnsi="Times New Roman" w:cs="Times New Roman"/>
                <w:b/>
                <w:sz w:val="24"/>
                <w:szCs w:val="24"/>
              </w:rPr>
              <w:t>(4 бода).</w:t>
            </w:r>
          </w:p>
          <w:p w14:paraId="6ECDA589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2547227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t>9</w:t>
            </w:r>
          </w:p>
        </w:tc>
      </w:tr>
      <w:tr w:rsidR="009B4E9E" w:rsidRPr="007E752B" w14:paraId="2B2358B4" w14:textId="77777777" w:rsidTr="008C616B">
        <w:tc>
          <w:tcPr>
            <w:tcW w:w="8388" w:type="dxa"/>
          </w:tcPr>
          <w:p w14:paraId="4679E548" w14:textId="77777777" w:rsidR="007E752B" w:rsidRDefault="009B4E9E" w:rsidP="008C616B">
            <w:pPr>
              <w:pStyle w:val="NormalWeb"/>
              <w:rPr>
                <w:rStyle w:val="Strong"/>
                <w:rFonts w:eastAsiaTheme="majorEastAsia"/>
                <w:lang w:val="sr-Cyrl-RS"/>
              </w:rPr>
            </w:pPr>
            <w:r>
              <w:rPr>
                <w:rStyle w:val="Strong"/>
                <w:rFonts w:eastAsiaTheme="majorEastAsia"/>
              </w:rPr>
              <w:t>Интеграција локалне заједнице у пројектне активности</w:t>
            </w:r>
          </w:p>
          <w:p w14:paraId="7C6AB267" w14:textId="4D5DDA04" w:rsidR="009B4E9E" w:rsidRPr="007E752B" w:rsidRDefault="009B4E9E" w:rsidP="008C616B">
            <w:pPr>
              <w:pStyle w:val="NormalWeb"/>
              <w:rPr>
                <w:rFonts w:eastAsiaTheme="majorEastAsia"/>
                <w:b/>
                <w:bCs/>
              </w:rPr>
            </w:pPr>
            <w:r>
              <w:br/>
            </w:r>
            <w:r w:rsidR="007E752B">
              <w:rPr>
                <w:lang w:val="sr-Cyrl-RS"/>
              </w:rPr>
              <w:t xml:space="preserve">- </w:t>
            </w:r>
            <w:r>
              <w:t xml:space="preserve">Пројекат укључује активну сарадњу са локалним организацијама, институцијама и становништвом, чиме се осигурава укљученост заједнице у свим фазама пројекта и подстиче њихово учешће у дугорочним процесима регионалне сарадње </w:t>
            </w:r>
            <w:r w:rsidRPr="007E752B">
              <w:rPr>
                <w:b/>
              </w:rPr>
              <w:t>(6 бодова).</w:t>
            </w:r>
            <w:r>
              <w:br/>
            </w:r>
            <w:r w:rsidR="007E752B">
              <w:rPr>
                <w:lang w:val="sr-Cyrl-RS"/>
              </w:rPr>
              <w:t xml:space="preserve">- </w:t>
            </w:r>
            <w:r>
              <w:t xml:space="preserve">Пројекат омогућава да резултати буду лако доступни и применљиви у локалној заједници, што повећава њихову вредност и одрживост на нивоу локалних актера </w:t>
            </w:r>
            <w:r w:rsidRPr="007E752B">
              <w:rPr>
                <w:b/>
              </w:rPr>
              <w:t>(3 бода).</w:t>
            </w:r>
          </w:p>
          <w:p w14:paraId="244B070A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D59DA94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t>9</w:t>
            </w:r>
          </w:p>
        </w:tc>
      </w:tr>
      <w:tr w:rsidR="009B4E9E" w:rsidRPr="007E752B" w14:paraId="784F082F" w14:textId="77777777" w:rsidTr="008C616B">
        <w:tc>
          <w:tcPr>
            <w:tcW w:w="8388" w:type="dxa"/>
          </w:tcPr>
          <w:p w14:paraId="060EAB77" w14:textId="77777777" w:rsidR="009B4E9E" w:rsidRDefault="009B4E9E" w:rsidP="008C616B">
            <w:pPr>
              <w:pStyle w:val="NormalWeb"/>
              <w:rPr>
                <w:rStyle w:val="Strong"/>
                <w:rFonts w:eastAsiaTheme="majorEastAsia"/>
              </w:rPr>
            </w:pPr>
            <w:r>
              <w:rPr>
                <w:rStyle w:val="Strong"/>
                <w:rFonts w:eastAsiaTheme="majorEastAsia"/>
              </w:rPr>
              <w:t>Утицај пројекта на образовање и подизање свести</w:t>
            </w:r>
          </w:p>
          <w:p w14:paraId="26E24B8F" w14:textId="5CBAEBCF" w:rsidR="009B4E9E" w:rsidRDefault="009B4E9E" w:rsidP="008C616B">
            <w:pPr>
              <w:pStyle w:val="NormalWeb"/>
            </w:pPr>
            <w:r>
              <w:br/>
            </w:r>
            <w:r w:rsidR="007E752B">
              <w:rPr>
                <w:lang w:val="sr-Cyrl-RS"/>
              </w:rPr>
              <w:t xml:space="preserve">- </w:t>
            </w:r>
            <w:r>
              <w:t xml:space="preserve">Пројекат доприноси едукацији и подизању свести у области регионалне сарадње и помирења кроз организовање радионица, семинара или других едукативних програма намењених широј јавности </w:t>
            </w:r>
            <w:r w:rsidRPr="007E752B">
              <w:rPr>
                <w:b/>
              </w:rPr>
              <w:t>(5 бодова).</w:t>
            </w:r>
            <w:r>
              <w:br/>
            </w:r>
            <w:r w:rsidR="007E752B">
              <w:rPr>
                <w:lang w:val="sr-Cyrl-RS"/>
              </w:rPr>
              <w:t xml:space="preserve">- </w:t>
            </w:r>
            <w:r>
              <w:t xml:space="preserve">Обука и материјали који се креирају у оквиру пројекта имају потенцијал да остану доступни у јавном простору, чиме се осигурава дугорочна примена у образовним програмима и подизање свести о значају сарадње и помирења </w:t>
            </w:r>
            <w:r w:rsidRPr="007E752B">
              <w:rPr>
                <w:b/>
              </w:rPr>
              <w:t>(3 бода)</w:t>
            </w:r>
            <w:r>
              <w:t>.</w:t>
            </w:r>
          </w:p>
          <w:p w14:paraId="527975DB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8AB2249" w14:textId="77777777" w:rsidR="009B4E9E" w:rsidRPr="007E752B" w:rsidRDefault="009B4E9E" w:rsidP="008C616B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7E752B">
              <w:rPr>
                <w:rFonts w:ascii="Times New Roman" w:hAnsi="Times New Roman" w:cs="Times New Roman"/>
                <w:b/>
                <w:sz w:val="24"/>
                <w:lang w:val="sr-Cyrl-RS"/>
              </w:rPr>
              <w:t>8</w:t>
            </w:r>
          </w:p>
        </w:tc>
      </w:tr>
      <w:tr w:rsidR="009B4E9E" w14:paraId="204289D6" w14:textId="77777777" w:rsidTr="007E752B">
        <w:tc>
          <w:tcPr>
            <w:tcW w:w="8388" w:type="dxa"/>
            <w:shd w:val="clear" w:color="auto" w:fill="E8E8E8" w:themeFill="background2"/>
          </w:tcPr>
          <w:p w14:paraId="0AF9DFB9" w14:textId="77777777" w:rsidR="009B4E9E" w:rsidRDefault="009B4E9E" w:rsidP="008C6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7E5F" w14:textId="41DF0356" w:rsidR="009B4E9E" w:rsidRPr="003C4E3D" w:rsidRDefault="007E752B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</w:t>
            </w:r>
            <w:r w:rsidR="009B4E9E" w:rsidRPr="00632E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БОДОВА </w:t>
            </w:r>
          </w:p>
          <w:p w14:paraId="73E4C4E5" w14:textId="77777777" w:rsidR="009B4E9E" w:rsidRPr="00632EE2" w:rsidRDefault="009B4E9E" w:rsidP="008C61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8E8E8" w:themeFill="background2"/>
            <w:vAlign w:val="center"/>
          </w:tcPr>
          <w:p w14:paraId="2A6282D9" w14:textId="77777777" w:rsidR="009B4E9E" w:rsidRPr="003C4E3D" w:rsidRDefault="009B4E9E" w:rsidP="008C616B">
            <w:pPr>
              <w:jc w:val="center"/>
              <w:rPr>
                <w:b/>
                <w:lang w:val="sr-Cyrl-RS"/>
              </w:rPr>
            </w:pPr>
            <w:r w:rsidRPr="003C4E3D">
              <w:rPr>
                <w:b/>
                <w:lang w:val="sr-Cyrl-RS"/>
              </w:rPr>
              <w:t>100</w:t>
            </w:r>
          </w:p>
        </w:tc>
      </w:tr>
    </w:tbl>
    <w:p w14:paraId="33AEA9C4" w14:textId="77777777" w:rsidR="009B4E9E" w:rsidRDefault="009B4E9E" w:rsidP="009B4E9E"/>
    <w:p w14:paraId="28ED0447" w14:textId="77777777" w:rsidR="009B4E9E" w:rsidRPr="009B4E9E" w:rsidRDefault="009B4E9E" w:rsidP="00D874A6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1EF863CB" w14:textId="77777777" w:rsidR="007A61A3" w:rsidRPr="00B23714" w:rsidRDefault="007A61A3" w:rsidP="003B2832"/>
    <w:sectPr w:rsidR="007A61A3" w:rsidRPr="00B23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A5B"/>
    <w:multiLevelType w:val="hybridMultilevel"/>
    <w:tmpl w:val="4DAAF8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5ED9"/>
    <w:multiLevelType w:val="hybridMultilevel"/>
    <w:tmpl w:val="ED6A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2E7F"/>
    <w:multiLevelType w:val="hybridMultilevel"/>
    <w:tmpl w:val="E2F0B60C"/>
    <w:lvl w:ilvl="0" w:tplc="4B5A32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96CEC"/>
    <w:multiLevelType w:val="hybridMultilevel"/>
    <w:tmpl w:val="C6E4BD26"/>
    <w:lvl w:ilvl="0" w:tplc="C3B24040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0B5F"/>
    <w:multiLevelType w:val="hybridMultilevel"/>
    <w:tmpl w:val="F180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7FFD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A6648"/>
    <w:multiLevelType w:val="hybridMultilevel"/>
    <w:tmpl w:val="28D4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6C35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4120F"/>
    <w:multiLevelType w:val="multilevel"/>
    <w:tmpl w:val="19D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F1137"/>
    <w:multiLevelType w:val="hybridMultilevel"/>
    <w:tmpl w:val="4CE8C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0BF3"/>
    <w:multiLevelType w:val="multilevel"/>
    <w:tmpl w:val="3ED87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057D6"/>
    <w:multiLevelType w:val="hybridMultilevel"/>
    <w:tmpl w:val="DE5E58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06"/>
    <w:rsid w:val="0022523F"/>
    <w:rsid w:val="002816D5"/>
    <w:rsid w:val="00297838"/>
    <w:rsid w:val="003B2832"/>
    <w:rsid w:val="004B182B"/>
    <w:rsid w:val="004B5AA2"/>
    <w:rsid w:val="004C79DE"/>
    <w:rsid w:val="0074197F"/>
    <w:rsid w:val="007952AB"/>
    <w:rsid w:val="007A61A3"/>
    <w:rsid w:val="007E752B"/>
    <w:rsid w:val="008C3A46"/>
    <w:rsid w:val="009037F8"/>
    <w:rsid w:val="009B4E9E"/>
    <w:rsid w:val="009E18EE"/>
    <w:rsid w:val="009E32A3"/>
    <w:rsid w:val="00B23714"/>
    <w:rsid w:val="00B57AB9"/>
    <w:rsid w:val="00BD3B81"/>
    <w:rsid w:val="00C268FD"/>
    <w:rsid w:val="00CE21DB"/>
    <w:rsid w:val="00D37CAF"/>
    <w:rsid w:val="00D874A6"/>
    <w:rsid w:val="00E25DB7"/>
    <w:rsid w:val="00E33306"/>
    <w:rsid w:val="00F6786A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E865"/>
  <w15:docId w15:val="{FAC5227B-3CEC-476A-ABD3-08B5C1B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30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30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33306"/>
    <w:pPr>
      <w:keepNext/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  <w14:ligatures w14:val="none"/>
    </w:rPr>
  </w:style>
  <w:style w:type="paragraph" w:styleId="BodyText">
    <w:name w:val="Body Text"/>
    <w:basedOn w:val="Normal"/>
    <w:link w:val="BodyTextChar"/>
    <w:rsid w:val="008C3A46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C3A46"/>
    <w:rPr>
      <w:rFonts w:ascii="Times New Roman" w:eastAsia="SimSun" w:hAnsi="Times New Roman" w:cs="Times New Roman"/>
      <w:kern w:val="1"/>
      <w:sz w:val="24"/>
      <w:szCs w:val="24"/>
      <w:lang w:eastAsia="hi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297838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9B4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4E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irenje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irenje.gov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irenje.gov.r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omirenje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iren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Lenovo</cp:lastModifiedBy>
  <cp:revision>4</cp:revision>
  <dcterms:created xsi:type="dcterms:W3CDTF">2024-10-02T08:55:00Z</dcterms:created>
  <dcterms:modified xsi:type="dcterms:W3CDTF">2024-10-02T08:58:00Z</dcterms:modified>
</cp:coreProperties>
</file>